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C" w:rsidRPr="00AC25D7" w:rsidRDefault="002B7612" w:rsidP="00F4167F">
      <w:pPr>
        <w:pStyle w:val="Nagwekspisutreci"/>
      </w:pPr>
      <w:bookmarkStart w:id="0" w:name="_Toc254345144"/>
      <w:bookmarkStart w:id="1" w:name="_Toc255547841"/>
      <w:r w:rsidRPr="00AC25D7">
        <w:t xml:space="preserve"> </w:t>
      </w:r>
    </w:p>
    <w:p w:rsidR="0091114C" w:rsidRPr="00AC25D7" w:rsidRDefault="0091114C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</w:p>
    <w:p w:rsidR="0091114C" w:rsidRPr="00AC25D7" w:rsidRDefault="0091114C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rPr>
          <w:rFonts w:asciiTheme="minorHAnsi" w:hAnsiTheme="minorHAnsi" w:cs="Arial"/>
          <w:sz w:val="24"/>
          <w:szCs w:val="24"/>
        </w:rPr>
      </w:pPr>
    </w:p>
    <w:p w:rsidR="0091114C" w:rsidRPr="00AC25D7" w:rsidRDefault="0091114C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rPr>
          <w:rFonts w:asciiTheme="minorHAnsi" w:hAnsiTheme="minorHAnsi" w:cs="Arial"/>
          <w:szCs w:val="24"/>
        </w:rPr>
      </w:pPr>
    </w:p>
    <w:bookmarkEnd w:id="0"/>
    <w:bookmarkEnd w:id="1"/>
    <w:p w:rsidR="00F66338" w:rsidRPr="00AC25D7" w:rsidRDefault="00F66338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jc w:val="center"/>
        <w:rPr>
          <w:rFonts w:asciiTheme="minorHAnsi" w:hAnsiTheme="minorHAnsi" w:cs="Arial"/>
          <w:b/>
          <w:sz w:val="72"/>
          <w:szCs w:val="24"/>
        </w:rPr>
      </w:pPr>
    </w:p>
    <w:p w:rsidR="00F21C4A" w:rsidRPr="00AC25D7" w:rsidRDefault="000E1AA5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jc w:val="center"/>
        <w:rPr>
          <w:rFonts w:asciiTheme="minorHAnsi" w:hAnsiTheme="minorHAnsi" w:cs="Arial"/>
          <w:b/>
          <w:sz w:val="72"/>
          <w:szCs w:val="24"/>
        </w:rPr>
      </w:pPr>
      <w:r>
        <w:rPr>
          <w:rFonts w:asciiTheme="minorHAnsi" w:hAnsiTheme="minorHAnsi" w:cs="Arial"/>
          <w:b/>
          <w:sz w:val="72"/>
          <w:szCs w:val="24"/>
        </w:rPr>
        <w:t>R</w:t>
      </w:r>
      <w:r w:rsidR="00F21C4A" w:rsidRPr="00AC25D7">
        <w:rPr>
          <w:rFonts w:asciiTheme="minorHAnsi" w:hAnsiTheme="minorHAnsi" w:cs="Arial"/>
          <w:b/>
          <w:sz w:val="72"/>
          <w:szCs w:val="24"/>
        </w:rPr>
        <w:t>ealizacj</w:t>
      </w:r>
      <w:r>
        <w:rPr>
          <w:rFonts w:asciiTheme="minorHAnsi" w:hAnsiTheme="minorHAnsi" w:cs="Arial"/>
          <w:b/>
          <w:sz w:val="72"/>
          <w:szCs w:val="24"/>
        </w:rPr>
        <w:t>a</w:t>
      </w:r>
      <w:r w:rsidR="00F21C4A" w:rsidRPr="00AC25D7">
        <w:rPr>
          <w:rFonts w:asciiTheme="minorHAnsi" w:hAnsiTheme="minorHAnsi" w:cs="Arial"/>
          <w:b/>
          <w:sz w:val="72"/>
          <w:szCs w:val="24"/>
        </w:rPr>
        <w:t xml:space="preserve"> procesów </w:t>
      </w:r>
    </w:p>
    <w:p w:rsidR="00F21C4A" w:rsidRPr="00AC25D7" w:rsidRDefault="00F21C4A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jc w:val="center"/>
        <w:rPr>
          <w:rFonts w:asciiTheme="minorHAnsi" w:hAnsiTheme="minorHAnsi" w:cs="Arial"/>
          <w:b/>
          <w:sz w:val="72"/>
          <w:szCs w:val="24"/>
        </w:rPr>
      </w:pPr>
      <w:r w:rsidRPr="00AC25D7">
        <w:rPr>
          <w:rFonts w:asciiTheme="minorHAnsi" w:hAnsiTheme="minorHAnsi" w:cs="Arial"/>
          <w:b/>
          <w:sz w:val="72"/>
          <w:szCs w:val="24"/>
        </w:rPr>
        <w:t xml:space="preserve">Przenoszenia Numerów </w:t>
      </w:r>
    </w:p>
    <w:p w:rsidR="00F66338" w:rsidRPr="00AC25D7" w:rsidRDefault="00F66338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jc w:val="center"/>
        <w:rPr>
          <w:rFonts w:asciiTheme="minorHAnsi" w:hAnsiTheme="minorHAnsi" w:cs="Arial"/>
          <w:b/>
          <w:sz w:val="72"/>
          <w:szCs w:val="24"/>
        </w:rPr>
      </w:pPr>
      <w:r w:rsidRPr="00AC25D7">
        <w:rPr>
          <w:rFonts w:asciiTheme="minorHAnsi" w:hAnsiTheme="minorHAnsi" w:cs="Arial"/>
          <w:b/>
          <w:sz w:val="72"/>
          <w:szCs w:val="24"/>
        </w:rPr>
        <w:t>dla sieci stacjonarnych</w:t>
      </w:r>
    </w:p>
    <w:p w:rsidR="00F21C4A" w:rsidRPr="00AC25D7" w:rsidRDefault="00F21C4A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jc w:val="center"/>
        <w:rPr>
          <w:rFonts w:asciiTheme="minorHAnsi" w:hAnsiTheme="minorHAnsi" w:cs="Arial"/>
          <w:b/>
          <w:sz w:val="72"/>
          <w:szCs w:val="24"/>
        </w:rPr>
      </w:pPr>
      <w:r w:rsidRPr="00AC25D7">
        <w:rPr>
          <w:rFonts w:asciiTheme="minorHAnsi" w:hAnsiTheme="minorHAnsi" w:cs="Arial"/>
          <w:b/>
          <w:sz w:val="72"/>
          <w:szCs w:val="24"/>
        </w:rPr>
        <w:t xml:space="preserve">do czasu </w:t>
      </w:r>
      <w:r w:rsidR="000E1AA5">
        <w:rPr>
          <w:rFonts w:asciiTheme="minorHAnsi" w:hAnsiTheme="minorHAnsi" w:cs="Arial"/>
          <w:b/>
          <w:sz w:val="72"/>
          <w:szCs w:val="24"/>
        </w:rPr>
        <w:t>wdrożenia</w:t>
      </w:r>
      <w:r w:rsidR="000E1AA5" w:rsidRPr="00AC25D7">
        <w:rPr>
          <w:rFonts w:asciiTheme="minorHAnsi" w:hAnsiTheme="minorHAnsi" w:cs="Arial"/>
          <w:b/>
          <w:sz w:val="72"/>
          <w:szCs w:val="24"/>
        </w:rPr>
        <w:t xml:space="preserve"> </w:t>
      </w:r>
    </w:p>
    <w:p w:rsidR="00F21C4A" w:rsidRPr="00AC25D7" w:rsidRDefault="00F21C4A" w:rsidP="00F66338">
      <w:pPr>
        <w:pStyle w:val="Tytu"/>
        <w:pBdr>
          <w:bottom w:val="none" w:sz="0" w:space="0" w:color="auto"/>
        </w:pBdr>
        <w:spacing w:line="276" w:lineRule="auto"/>
        <w:ind w:left="0" w:firstLine="0"/>
        <w:jc w:val="center"/>
        <w:rPr>
          <w:rFonts w:asciiTheme="minorHAnsi" w:hAnsiTheme="minorHAnsi" w:cs="Arial"/>
          <w:b/>
          <w:sz w:val="72"/>
          <w:szCs w:val="24"/>
        </w:rPr>
      </w:pPr>
      <w:r w:rsidRPr="00AC25D7">
        <w:rPr>
          <w:rFonts w:asciiTheme="minorHAnsi" w:hAnsiTheme="minorHAnsi" w:cs="Arial"/>
          <w:b/>
          <w:sz w:val="72"/>
          <w:szCs w:val="24"/>
        </w:rPr>
        <w:t>zmian w Umowie SOR</w:t>
      </w:r>
      <w:r w:rsidR="000E1AA5">
        <w:rPr>
          <w:rFonts w:asciiTheme="minorHAnsi" w:hAnsiTheme="minorHAnsi" w:cs="Arial"/>
          <w:b/>
          <w:sz w:val="72"/>
          <w:szCs w:val="24"/>
        </w:rPr>
        <w:t xml:space="preserve"> przez Orange Polska</w:t>
      </w:r>
    </w:p>
    <w:p w:rsidR="00C74D2A" w:rsidRPr="00AC25D7" w:rsidRDefault="009F3D96" w:rsidP="00F66338">
      <w:pPr>
        <w:pStyle w:val="Nagwekspisutreci"/>
        <w:spacing w:before="0"/>
        <w:jc w:val="center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br w:type="page"/>
      </w:r>
      <w:r w:rsidR="00C74D2A" w:rsidRPr="00AC25D7">
        <w:rPr>
          <w:rFonts w:asciiTheme="minorHAnsi" w:hAnsiTheme="minorHAnsi"/>
          <w:sz w:val="24"/>
          <w:szCs w:val="24"/>
        </w:rPr>
        <w:lastRenderedPageBreak/>
        <w:t>Spis treści</w:t>
      </w:r>
    </w:p>
    <w:p w:rsidR="00C74D2A" w:rsidRPr="00AC25D7" w:rsidRDefault="00C74D2A" w:rsidP="00F66338">
      <w:pPr>
        <w:spacing w:line="276" w:lineRule="auto"/>
        <w:rPr>
          <w:rFonts w:asciiTheme="minorHAnsi" w:hAnsiTheme="minorHAnsi"/>
          <w:sz w:val="24"/>
          <w:szCs w:val="24"/>
          <w:lang w:eastAsia="pl-PL"/>
        </w:rPr>
      </w:pPr>
    </w:p>
    <w:p w:rsidR="00F4167F" w:rsidRDefault="00CF5F4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 w:rsidRPr="00CF5F46">
        <w:rPr>
          <w:rFonts w:asciiTheme="minorHAnsi" w:hAnsiTheme="minorHAnsi"/>
          <w:b w:val="0"/>
          <w:bCs w:val="0"/>
          <w:caps w:val="0"/>
        </w:rPr>
        <w:fldChar w:fldCharType="begin"/>
      </w:r>
      <w:r w:rsidR="00C21516" w:rsidRPr="00AC25D7">
        <w:rPr>
          <w:rFonts w:asciiTheme="minorHAnsi" w:hAnsiTheme="minorHAnsi"/>
          <w:b w:val="0"/>
          <w:bCs w:val="0"/>
          <w:caps w:val="0"/>
        </w:rPr>
        <w:instrText xml:space="preserve"> TOC \o "1-3" \h \z \u </w:instrText>
      </w:r>
      <w:r w:rsidRPr="00CF5F46">
        <w:rPr>
          <w:rFonts w:asciiTheme="minorHAnsi" w:hAnsiTheme="minorHAnsi"/>
          <w:b w:val="0"/>
          <w:bCs w:val="0"/>
          <w:caps w:val="0"/>
        </w:rPr>
        <w:fldChar w:fldCharType="separate"/>
      </w:r>
      <w:hyperlink w:anchor="_Toc410210692" w:history="1">
        <w:r w:rsidR="00F4167F" w:rsidRPr="00470796">
          <w:rPr>
            <w:rStyle w:val="Hipercze"/>
            <w:noProof/>
          </w:rPr>
          <w:t>1</w:t>
        </w:r>
        <w:r w:rsidR="00F416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F4167F" w:rsidRPr="00470796">
          <w:rPr>
            <w:rStyle w:val="Hipercze"/>
            <w:rFonts w:cs="Arial"/>
            <w:noProof/>
          </w:rPr>
          <w:t>Wstęp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10693" w:history="1">
        <w:r w:rsidR="00F4167F" w:rsidRPr="00470796">
          <w:rPr>
            <w:rStyle w:val="Hipercze"/>
            <w:noProof/>
          </w:rPr>
          <w:t>2</w:t>
        </w:r>
        <w:r w:rsidR="00F416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F4167F" w:rsidRPr="00470796">
          <w:rPr>
            <w:rStyle w:val="Hipercze"/>
            <w:rFonts w:cs="Arial"/>
            <w:noProof/>
          </w:rPr>
          <w:t>Analiza praktyk rynkowych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10694" w:history="1">
        <w:r w:rsidR="00F4167F" w:rsidRPr="00470796">
          <w:rPr>
            <w:rStyle w:val="Hipercze"/>
            <w:noProof/>
          </w:rPr>
          <w:t>3</w:t>
        </w:r>
        <w:r w:rsidR="00F416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F4167F" w:rsidRPr="00470796">
          <w:rPr>
            <w:rStyle w:val="Hipercze"/>
            <w:rFonts w:cs="Arial"/>
            <w:noProof/>
          </w:rPr>
          <w:t>Realizacja procesów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695" w:history="1">
        <w:r w:rsidR="00F4167F" w:rsidRPr="00470796">
          <w:rPr>
            <w:rStyle w:val="Hipercze"/>
            <w:noProof/>
          </w:rPr>
          <w:t>3.1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NP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696" w:history="1">
        <w:r w:rsidR="00F4167F" w:rsidRPr="00470796">
          <w:rPr>
            <w:rStyle w:val="Hipercze"/>
            <w:noProof/>
          </w:rPr>
          <w:t>3.2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Przeniesienia Numeru od Dawcy świadczącego Usługi Hurtowe (WLR na NP)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697" w:history="1">
        <w:r w:rsidR="00F4167F" w:rsidRPr="00470796">
          <w:rPr>
            <w:rStyle w:val="Hipercze"/>
            <w:noProof/>
          </w:rPr>
          <w:t>3.3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dezaktywacji Numeru/zakresu Numerów przydzielonych Dostawcy Usług przez Operatora Infrastrukturalnego w Usłudze Hurtowej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698" w:history="1">
        <w:r w:rsidR="00F4167F" w:rsidRPr="00470796">
          <w:rPr>
            <w:rStyle w:val="Hipercze"/>
            <w:noProof/>
          </w:rPr>
          <w:t>3.4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realizacji Przeniesienia Numeru w powiązaniu z Usługą Hurtową po stronie Biorcy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699" w:history="1">
        <w:r w:rsidR="00F4167F" w:rsidRPr="00470796">
          <w:rPr>
            <w:rStyle w:val="Hipercze"/>
            <w:noProof/>
          </w:rPr>
          <w:t>3.5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zamówienia Usługi Hurtowej na Łączu Abonenckim Nieaktywnym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700" w:history="1">
        <w:r w:rsidR="00F4167F" w:rsidRPr="00470796">
          <w:rPr>
            <w:rStyle w:val="Hipercze"/>
            <w:noProof/>
          </w:rPr>
          <w:t>3.6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modyfikacji Usługi Hurtowej WLR 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701" w:history="1">
        <w:r w:rsidR="00F4167F" w:rsidRPr="00470796">
          <w:rPr>
            <w:rStyle w:val="Hipercze"/>
            <w:noProof/>
          </w:rPr>
          <w:t>3.7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Proces zwrotu Numeru/zakresu Numerów (przydzielanych przez Operatora Infrastrukturalnego)  wskutek modyfikacji w Usłudze Hurtowej WLR, w okresie przejściowym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410210702" w:history="1">
        <w:r w:rsidR="00F4167F" w:rsidRPr="00470796">
          <w:rPr>
            <w:rStyle w:val="Hipercze"/>
            <w:noProof/>
          </w:rPr>
          <w:t>3.8</w:t>
        </w:r>
        <w:r w:rsidR="00F4167F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pl-PL"/>
          </w:rPr>
          <w:tab/>
        </w:r>
        <w:r w:rsidR="00F4167F" w:rsidRPr="00470796">
          <w:rPr>
            <w:rStyle w:val="Hipercze"/>
            <w:noProof/>
          </w:rPr>
          <w:t>Komunikacja pomiędzy Systemem PLI CBD a Operatorem Infrastrukturalnym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10703" w:history="1">
        <w:r w:rsidR="00F4167F" w:rsidRPr="00470796">
          <w:rPr>
            <w:rStyle w:val="Hipercze"/>
            <w:noProof/>
          </w:rPr>
          <w:t>4</w:t>
        </w:r>
        <w:r w:rsidR="00F416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F4167F" w:rsidRPr="00470796">
          <w:rPr>
            <w:rStyle w:val="Hipercze"/>
            <w:rFonts w:cs="Arial"/>
            <w:noProof/>
          </w:rPr>
          <w:t>Najważniejsze ryzyka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10704" w:history="1">
        <w:r w:rsidR="00F4167F" w:rsidRPr="00470796">
          <w:rPr>
            <w:rStyle w:val="Hipercze"/>
            <w:noProof/>
          </w:rPr>
          <w:t>5</w:t>
        </w:r>
        <w:r w:rsidR="00F416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F4167F" w:rsidRPr="00470796">
          <w:rPr>
            <w:rStyle w:val="Hipercze"/>
            <w:rFonts w:cs="Arial"/>
            <w:noProof/>
          </w:rPr>
          <w:t>Dane statystyczne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4167F" w:rsidRDefault="00CF5F46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410210705" w:history="1">
        <w:r w:rsidR="00F4167F" w:rsidRPr="00470796">
          <w:rPr>
            <w:rStyle w:val="Hipercze"/>
            <w:noProof/>
          </w:rPr>
          <w:t>6</w:t>
        </w:r>
        <w:r w:rsidR="00F416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F4167F" w:rsidRPr="00470796">
          <w:rPr>
            <w:rStyle w:val="Hipercze"/>
            <w:rFonts w:cs="Arial"/>
            <w:noProof/>
          </w:rPr>
          <w:t>Podsumowanie</w:t>
        </w:r>
        <w:r w:rsidR="00F416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67F">
          <w:rPr>
            <w:noProof/>
            <w:webHidden/>
          </w:rPr>
          <w:instrText xml:space="preserve"> PAGEREF _Toc410210705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D3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4167F" w:rsidRDefault="00F4167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</w:p>
    <w:p w:rsidR="00C74D2A" w:rsidRPr="00AC25D7" w:rsidRDefault="00CF5F46" w:rsidP="00F66338">
      <w:pPr>
        <w:spacing w:line="276" w:lineRule="auto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b/>
          <w:bCs/>
          <w:caps/>
          <w:sz w:val="24"/>
          <w:szCs w:val="24"/>
        </w:rPr>
        <w:fldChar w:fldCharType="end"/>
      </w:r>
      <w:bookmarkStart w:id="2" w:name="_GoBack"/>
      <w:bookmarkEnd w:id="2"/>
    </w:p>
    <w:p w:rsidR="00A414A2" w:rsidRPr="00AC25D7" w:rsidRDefault="00DA2702" w:rsidP="00F66338">
      <w:pPr>
        <w:pStyle w:val="Nagwek1"/>
        <w:pageBreakBefore/>
        <w:pBdr>
          <w:top w:val="none" w:sz="0" w:space="0" w:color="auto"/>
        </w:pBdr>
        <w:spacing w:line="276" w:lineRule="auto"/>
        <w:ind w:left="431" w:hanging="431"/>
        <w:rPr>
          <w:rFonts w:asciiTheme="minorHAnsi" w:hAnsiTheme="minorHAnsi" w:cs="Arial"/>
          <w:b/>
          <w:color w:val="17365D"/>
          <w:sz w:val="28"/>
          <w:szCs w:val="24"/>
          <w:lang w:val="pl-PL"/>
        </w:rPr>
      </w:pPr>
      <w:bookmarkStart w:id="3" w:name="_Toc410210692"/>
      <w:r w:rsidRPr="00AC25D7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lastRenderedPageBreak/>
        <w:t>Wstęp</w:t>
      </w:r>
      <w:bookmarkEnd w:id="3"/>
    </w:p>
    <w:p w:rsidR="00F21C4A" w:rsidRPr="00AC25D7" w:rsidRDefault="00DA2702" w:rsidP="00DA5DB1">
      <w:pPr>
        <w:spacing w:line="276" w:lineRule="auto"/>
        <w:ind w:left="567" w:firstLine="0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ramach niniejszego dokumentu </w:t>
      </w:r>
      <w:r w:rsidR="00F21C4A" w:rsidRPr="00AC25D7">
        <w:rPr>
          <w:rFonts w:asciiTheme="minorHAnsi" w:hAnsiTheme="minorHAnsi"/>
          <w:sz w:val="24"/>
          <w:szCs w:val="24"/>
        </w:rPr>
        <w:t xml:space="preserve">przedstawiony </w:t>
      </w:r>
      <w:r w:rsidR="00D646CD" w:rsidRPr="00AC25D7">
        <w:rPr>
          <w:rFonts w:asciiTheme="minorHAnsi" w:hAnsiTheme="minorHAnsi"/>
          <w:sz w:val="24"/>
          <w:szCs w:val="24"/>
        </w:rPr>
        <w:t xml:space="preserve">został </w:t>
      </w:r>
      <w:r w:rsidR="00F66338" w:rsidRPr="00AC25D7">
        <w:rPr>
          <w:rFonts w:asciiTheme="minorHAnsi" w:hAnsiTheme="minorHAnsi"/>
          <w:sz w:val="24"/>
          <w:szCs w:val="24"/>
        </w:rPr>
        <w:t xml:space="preserve">przez Wykonawcę </w:t>
      </w:r>
      <w:r w:rsidR="00F21C4A" w:rsidRPr="00AC25D7">
        <w:rPr>
          <w:rFonts w:asciiTheme="minorHAnsi" w:hAnsiTheme="minorHAnsi"/>
          <w:sz w:val="24"/>
          <w:szCs w:val="24"/>
        </w:rPr>
        <w:t xml:space="preserve">sposób realizacji procesów Przenoszenia Numerów </w:t>
      </w:r>
      <w:r w:rsidR="00F96E56" w:rsidRPr="00AC25D7">
        <w:rPr>
          <w:rFonts w:asciiTheme="minorHAnsi" w:hAnsiTheme="minorHAnsi"/>
          <w:sz w:val="24"/>
          <w:szCs w:val="24"/>
        </w:rPr>
        <w:t xml:space="preserve">oraz modyfikacji w Usłudze Hurtowej WLR powiązanych ze zmianą Dostawcy Usług dla Numeru/zakresu Numerów </w:t>
      </w:r>
      <w:r w:rsidR="00F66338" w:rsidRPr="00AC25D7">
        <w:rPr>
          <w:rFonts w:asciiTheme="minorHAnsi" w:hAnsiTheme="minorHAnsi"/>
          <w:sz w:val="24"/>
          <w:szCs w:val="24"/>
        </w:rPr>
        <w:t xml:space="preserve">dla sieci stacjonarnych </w:t>
      </w:r>
      <w:r w:rsidR="00F21C4A" w:rsidRPr="00AC25D7">
        <w:rPr>
          <w:rFonts w:asciiTheme="minorHAnsi" w:hAnsiTheme="minorHAnsi"/>
          <w:sz w:val="24"/>
          <w:szCs w:val="24"/>
        </w:rPr>
        <w:t>w okresie przejściowym</w:t>
      </w:r>
      <w:r w:rsidR="00D646CD" w:rsidRPr="00AC25D7">
        <w:rPr>
          <w:rFonts w:asciiTheme="minorHAnsi" w:hAnsiTheme="minorHAnsi"/>
          <w:sz w:val="24"/>
          <w:szCs w:val="24"/>
        </w:rPr>
        <w:t>,</w:t>
      </w:r>
      <w:r w:rsidR="00F21C4A" w:rsidRPr="00AC25D7">
        <w:rPr>
          <w:rFonts w:asciiTheme="minorHAnsi" w:hAnsiTheme="minorHAnsi"/>
          <w:sz w:val="24"/>
          <w:szCs w:val="24"/>
        </w:rPr>
        <w:t xml:space="preserve"> do czasu przeprowadzenia zmian w Ofercie SOR.</w:t>
      </w:r>
    </w:p>
    <w:p w:rsidR="00EE30CA" w:rsidRPr="00AC25D7" w:rsidRDefault="00EE30C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66338" w:rsidRPr="00AC25D7" w:rsidRDefault="00F66338" w:rsidP="00DA5DB1">
      <w:pPr>
        <w:spacing w:line="276" w:lineRule="auto"/>
        <w:ind w:left="567" w:firstLine="0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Proces Przenoszenia Numerów dla sieci ruchomych wdrożony zostanie zgodnie </w:t>
      </w:r>
      <w:r w:rsidR="00EE30CA" w:rsidRPr="00AC25D7">
        <w:rPr>
          <w:rFonts w:asciiTheme="minorHAnsi" w:hAnsiTheme="minorHAnsi"/>
          <w:sz w:val="24"/>
          <w:szCs w:val="24"/>
        </w:rPr>
        <w:t xml:space="preserve">z wybranym do realizacji przez Zamawiającego wariantem.  </w:t>
      </w:r>
    </w:p>
    <w:p w:rsidR="006A62B6" w:rsidRPr="00AC25D7" w:rsidRDefault="006A62B6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A2702" w:rsidRPr="00AC25D7" w:rsidRDefault="003362AA" w:rsidP="00543E11">
      <w:pPr>
        <w:pStyle w:val="Nagwek1"/>
        <w:pBdr>
          <w:top w:val="none" w:sz="0" w:space="0" w:color="auto"/>
        </w:pBdr>
        <w:spacing w:line="276" w:lineRule="auto"/>
        <w:ind w:left="431" w:hanging="431"/>
        <w:rPr>
          <w:rFonts w:asciiTheme="minorHAnsi" w:hAnsiTheme="minorHAnsi" w:cs="Arial"/>
          <w:b/>
          <w:color w:val="17365D"/>
          <w:sz w:val="28"/>
          <w:szCs w:val="24"/>
          <w:lang w:val="pl-PL"/>
        </w:rPr>
      </w:pPr>
      <w:bookmarkStart w:id="4" w:name="_Toc410210693"/>
      <w:r w:rsidRPr="00AC25D7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>Analiza praktyk rynkowych</w:t>
      </w:r>
      <w:bookmarkEnd w:id="4"/>
    </w:p>
    <w:p w:rsidR="00F21C4A" w:rsidRPr="00AC25D7" w:rsidRDefault="00F21C4A" w:rsidP="00DA5DB1">
      <w:pPr>
        <w:spacing w:line="276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F21C4A" w:rsidRPr="00AC25D7" w:rsidRDefault="00F21C4A" w:rsidP="00DA5DB1">
      <w:pPr>
        <w:spacing w:line="276" w:lineRule="auto"/>
        <w:ind w:left="720" w:firstLine="0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wyniku przeprowadzonej analizy praktyk rynkowych na rynku telefonii stacjonarnej, Wykonawca zdefiniował obecną ilość ścieżek i zasad współpracy międzyoperatorskiej w celu realizacji uprawnienia Abonenta do zachowania numeru. Wykonawca podkreśla, że zaskakuje różnorodność w trybach i sposobach realizacji przedmiotowego uprawnienia, którą determinuje </w:t>
      </w:r>
      <w:r w:rsidRPr="00AC25D7">
        <w:rPr>
          <w:rFonts w:asciiTheme="minorHAnsi" w:hAnsiTheme="minorHAnsi"/>
          <w:sz w:val="24"/>
          <w:szCs w:val="24"/>
          <w:u w:val="single"/>
        </w:rPr>
        <w:t>rodzaj prawnych uregulowań międzyoperatorskich</w:t>
      </w:r>
      <w:r w:rsidRPr="00AC25D7">
        <w:rPr>
          <w:rFonts w:asciiTheme="minorHAnsi" w:hAnsiTheme="minorHAnsi"/>
          <w:sz w:val="24"/>
          <w:szCs w:val="24"/>
        </w:rPr>
        <w:t xml:space="preserve"> pomiędzy stronami procesu Przeniesienia Numeru. </w:t>
      </w:r>
    </w:p>
    <w:p w:rsidR="00F21C4A" w:rsidRPr="00AC25D7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AC25D7" w:rsidRDefault="00F21C4A" w:rsidP="00DA5DB1">
      <w:pPr>
        <w:spacing w:line="276" w:lineRule="auto"/>
        <w:ind w:left="567" w:firstLine="0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zależności czy strony łączy Umowa SOR, czy Porozumienie lub Umowa o współpracy międzyoperatorskiej w celu realizacji uprawnień Abonenta do zachowania numeru, czy też Porozumienie MPM, Strony przyjmują określoną komunikację, czas i tryb realizacji Usługi </w:t>
      </w:r>
      <w:r w:rsidR="002220F4" w:rsidRPr="00AC25D7">
        <w:rPr>
          <w:rFonts w:asciiTheme="minorHAnsi" w:hAnsiTheme="minorHAnsi"/>
          <w:sz w:val="24"/>
          <w:szCs w:val="24"/>
        </w:rPr>
        <w:t>NP.</w:t>
      </w:r>
    </w:p>
    <w:p w:rsidR="00F21C4A" w:rsidRPr="00AC25D7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AC25D7" w:rsidRDefault="00F21C4A" w:rsidP="00DA5DB1">
      <w:pPr>
        <w:spacing w:line="276" w:lineRule="auto"/>
        <w:ind w:left="567" w:firstLine="0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Poniżej Wykonawca przedstawia skrócony opis głównych ścieżek i trybów</w:t>
      </w:r>
      <w:r w:rsidR="00DA5DB1" w:rsidRPr="00AC25D7">
        <w:rPr>
          <w:rFonts w:asciiTheme="minorHAnsi" w:hAnsiTheme="minorHAnsi"/>
          <w:sz w:val="24"/>
          <w:szCs w:val="24"/>
        </w:rPr>
        <w:t xml:space="preserve"> </w:t>
      </w:r>
      <w:r w:rsidRPr="00AC25D7">
        <w:rPr>
          <w:rFonts w:asciiTheme="minorHAnsi" w:hAnsiTheme="minorHAnsi"/>
          <w:sz w:val="24"/>
          <w:szCs w:val="24"/>
        </w:rPr>
        <w:t>komunikacji,</w:t>
      </w:r>
      <w:r w:rsidR="00DA5DB1" w:rsidRPr="00AC25D7">
        <w:rPr>
          <w:rFonts w:asciiTheme="minorHAnsi" w:hAnsiTheme="minorHAnsi"/>
          <w:sz w:val="24"/>
          <w:szCs w:val="24"/>
        </w:rPr>
        <w:t xml:space="preserve"> </w:t>
      </w:r>
      <w:r w:rsidRPr="00AC25D7">
        <w:rPr>
          <w:rFonts w:asciiTheme="minorHAnsi" w:hAnsiTheme="minorHAnsi"/>
          <w:sz w:val="24"/>
          <w:szCs w:val="24"/>
        </w:rPr>
        <w:t>gdy po stronie Biorcy nie występuje powiązanie z Usługa Hurtową</w:t>
      </w:r>
      <w:r w:rsidR="00EE30CA" w:rsidRPr="00AC25D7">
        <w:rPr>
          <w:rFonts w:asciiTheme="minorHAnsi" w:hAnsiTheme="minorHAnsi"/>
          <w:sz w:val="24"/>
          <w:szCs w:val="24"/>
        </w:rPr>
        <w:t>:</w:t>
      </w:r>
    </w:p>
    <w:p w:rsidR="00F21C4A" w:rsidRPr="00AC25D7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AC25D7" w:rsidRDefault="00F21C4A" w:rsidP="00F7220B">
      <w:pPr>
        <w:pStyle w:val="Akapitzlist"/>
        <w:numPr>
          <w:ilvl w:val="0"/>
          <w:numId w:val="2"/>
        </w:numPr>
        <w:spacing w:line="276" w:lineRule="auto"/>
        <w:ind w:left="1428"/>
        <w:contextualSpacing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Dla PT posiadającego zawartą z OPL Umowę SOR</w:t>
      </w:r>
      <w:r w:rsidR="00B27B1C" w:rsidRPr="00AC25D7">
        <w:rPr>
          <w:rFonts w:asciiTheme="minorHAnsi" w:hAnsiTheme="minorHAnsi"/>
          <w:sz w:val="24"/>
          <w:szCs w:val="24"/>
        </w:rPr>
        <w:t>:</w:t>
      </w:r>
      <w:r w:rsidRPr="00AC25D7">
        <w:rPr>
          <w:rFonts w:asciiTheme="minorHAnsi" w:hAnsiTheme="minorHAnsi"/>
          <w:sz w:val="24"/>
          <w:szCs w:val="24"/>
        </w:rPr>
        <w:t xml:space="preserve"> </w:t>
      </w:r>
    </w:p>
    <w:p w:rsidR="00F21C4A" w:rsidRPr="00AC25D7" w:rsidRDefault="00B27B1C" w:rsidP="004C0824">
      <w:pPr>
        <w:pStyle w:val="Akapitzlist"/>
        <w:numPr>
          <w:ilvl w:val="0"/>
          <w:numId w:val="25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Proces NP</w:t>
      </w:r>
      <w:r w:rsidR="00F21C4A" w:rsidRPr="00AC25D7">
        <w:rPr>
          <w:rFonts w:asciiTheme="minorHAnsi" w:hAnsiTheme="minorHAnsi"/>
          <w:sz w:val="24"/>
          <w:szCs w:val="24"/>
        </w:rPr>
        <w:t xml:space="preserve"> realizowany  </w:t>
      </w:r>
      <w:r w:rsidR="00F21C4A" w:rsidRPr="00AC25D7">
        <w:rPr>
          <w:rFonts w:asciiTheme="minorHAnsi" w:hAnsiTheme="minorHAnsi"/>
          <w:b/>
          <w:sz w:val="24"/>
          <w:szCs w:val="24"/>
          <w:u w:val="single"/>
        </w:rPr>
        <w:t>od 7 dni roboczych do 120 dni kalendarzowych</w:t>
      </w:r>
      <w:r w:rsidR="00F21C4A" w:rsidRPr="00AC25D7">
        <w:rPr>
          <w:rFonts w:asciiTheme="minorHAnsi" w:hAnsiTheme="minorHAnsi"/>
          <w:sz w:val="24"/>
          <w:szCs w:val="24"/>
        </w:rPr>
        <w:t xml:space="preserve"> – komunikacja </w:t>
      </w:r>
      <w:r w:rsidRPr="00AC25D7">
        <w:rPr>
          <w:rFonts w:asciiTheme="minorHAnsi" w:hAnsiTheme="minorHAnsi"/>
          <w:sz w:val="24"/>
          <w:szCs w:val="24"/>
        </w:rPr>
        <w:t>poprzez ISI (</w:t>
      </w:r>
      <w:r w:rsidR="00F21C4A" w:rsidRPr="00AC25D7">
        <w:rPr>
          <w:rFonts w:asciiTheme="minorHAnsi" w:hAnsiTheme="minorHAnsi"/>
          <w:sz w:val="24"/>
          <w:szCs w:val="24"/>
        </w:rPr>
        <w:t>zgodnie z MWM)</w:t>
      </w:r>
    </w:p>
    <w:p w:rsidR="00F21C4A" w:rsidRPr="00AC25D7" w:rsidRDefault="00B27B1C" w:rsidP="004C0824">
      <w:pPr>
        <w:pStyle w:val="Akapitzlist"/>
        <w:numPr>
          <w:ilvl w:val="0"/>
          <w:numId w:val="25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Proces NP</w:t>
      </w:r>
      <w:r w:rsidR="00F21C4A" w:rsidRPr="00AC25D7">
        <w:rPr>
          <w:rFonts w:asciiTheme="minorHAnsi" w:hAnsiTheme="minorHAnsi"/>
          <w:sz w:val="24"/>
          <w:szCs w:val="24"/>
        </w:rPr>
        <w:t xml:space="preserve"> realizowany   </w:t>
      </w:r>
      <w:r w:rsidR="00F21C4A" w:rsidRPr="00AC25D7">
        <w:rPr>
          <w:rFonts w:asciiTheme="minorHAnsi" w:hAnsiTheme="minorHAnsi"/>
          <w:b/>
          <w:sz w:val="24"/>
          <w:szCs w:val="24"/>
          <w:u w:val="single"/>
        </w:rPr>
        <w:t>1 – 6 dni roboczych</w:t>
      </w:r>
      <w:r w:rsidR="00F21C4A" w:rsidRPr="00AC25D7">
        <w:rPr>
          <w:rFonts w:asciiTheme="minorHAnsi" w:hAnsiTheme="minorHAnsi"/>
          <w:sz w:val="24"/>
          <w:szCs w:val="24"/>
        </w:rPr>
        <w:t xml:space="preserve"> – komunikacja poprzez e-mail </w:t>
      </w:r>
      <w:hyperlink r:id="rId8" w:history="1">
        <w:r w:rsidR="00543E11" w:rsidRPr="00AC25D7">
          <w:rPr>
            <w:rStyle w:val="Hipercze"/>
            <w:rFonts w:asciiTheme="minorHAnsi" w:hAnsiTheme="minorHAnsi" w:cs="Verdana"/>
            <w:sz w:val="24"/>
            <w:szCs w:val="24"/>
          </w:rPr>
          <w:t>NP.WLR1DR@orange.com</w:t>
        </w:r>
      </w:hyperlink>
      <w:r w:rsidRPr="00AC25D7">
        <w:rPr>
          <w:rFonts w:asciiTheme="minorHAnsi" w:hAnsiTheme="minorHAnsi"/>
          <w:sz w:val="24"/>
          <w:szCs w:val="24"/>
        </w:rPr>
        <w:t xml:space="preserve"> </w:t>
      </w:r>
    </w:p>
    <w:p w:rsidR="00F21C4A" w:rsidRPr="00AC25D7" w:rsidRDefault="00F21C4A" w:rsidP="004C0824">
      <w:pPr>
        <w:pStyle w:val="Akapitzlist"/>
        <w:keepNext/>
        <w:numPr>
          <w:ilvl w:val="0"/>
          <w:numId w:val="25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Gdy Dawcą jest </w:t>
      </w:r>
      <w:r w:rsidR="00B27B1C" w:rsidRPr="00AC25D7">
        <w:rPr>
          <w:rFonts w:asciiTheme="minorHAnsi" w:hAnsiTheme="minorHAnsi"/>
          <w:sz w:val="24"/>
          <w:szCs w:val="24"/>
        </w:rPr>
        <w:t>część detaliczna OPL, proces NP</w:t>
      </w:r>
      <w:r w:rsidRPr="00AC25D7">
        <w:rPr>
          <w:rFonts w:asciiTheme="minorHAnsi" w:hAnsiTheme="minorHAnsi"/>
          <w:sz w:val="24"/>
          <w:szCs w:val="24"/>
        </w:rPr>
        <w:t xml:space="preserve"> realizowany:</w:t>
      </w:r>
    </w:p>
    <w:p w:rsidR="00F21C4A" w:rsidRPr="00AC25D7" w:rsidRDefault="00F21C4A" w:rsidP="00F7220B">
      <w:pPr>
        <w:pStyle w:val="Akapitzlist"/>
        <w:numPr>
          <w:ilvl w:val="1"/>
          <w:numId w:val="4"/>
        </w:numPr>
        <w:spacing w:line="276" w:lineRule="auto"/>
        <w:ind w:left="2496"/>
        <w:contextualSpacing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b/>
          <w:sz w:val="24"/>
          <w:szCs w:val="24"/>
          <w:u w:val="single"/>
        </w:rPr>
        <w:t>od 1 do 6 dni roboczych</w:t>
      </w:r>
      <w:r w:rsidRPr="00AC25D7">
        <w:rPr>
          <w:rFonts w:asciiTheme="minorHAnsi" w:hAnsiTheme="minorHAnsi"/>
          <w:sz w:val="24"/>
          <w:szCs w:val="24"/>
        </w:rPr>
        <w:t xml:space="preserve"> - komunikacja poprzez e-mail </w:t>
      </w:r>
      <w:hyperlink r:id="rId9" w:history="1">
        <w:r w:rsidRPr="00AC25D7">
          <w:rPr>
            <w:rStyle w:val="Hipercze"/>
            <w:rFonts w:asciiTheme="minorHAnsi" w:hAnsiTheme="minorHAnsi"/>
            <w:sz w:val="24"/>
            <w:szCs w:val="24"/>
          </w:rPr>
          <w:t>NP1.DR@orange.com</w:t>
        </w:r>
      </w:hyperlink>
    </w:p>
    <w:p w:rsidR="00F21C4A" w:rsidRPr="00AC25D7" w:rsidRDefault="00F21C4A" w:rsidP="00F7220B">
      <w:pPr>
        <w:pStyle w:val="Akapitzlist"/>
        <w:numPr>
          <w:ilvl w:val="1"/>
          <w:numId w:val="4"/>
        </w:numPr>
        <w:spacing w:line="276" w:lineRule="auto"/>
        <w:ind w:left="2496"/>
        <w:contextualSpacing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b/>
          <w:sz w:val="24"/>
          <w:szCs w:val="24"/>
          <w:u w:val="single"/>
        </w:rPr>
        <w:t xml:space="preserve">od 7 dni roboczych do 120 dni kalendarzowych </w:t>
      </w:r>
      <w:r w:rsidRPr="00AC25D7">
        <w:rPr>
          <w:rFonts w:asciiTheme="minorHAnsi" w:hAnsiTheme="minorHAnsi"/>
          <w:sz w:val="24"/>
          <w:szCs w:val="24"/>
        </w:rPr>
        <w:t xml:space="preserve">– </w:t>
      </w:r>
      <w:hyperlink r:id="rId10" w:history="1">
        <w:r w:rsidR="00543E11" w:rsidRPr="00AC25D7">
          <w:rPr>
            <w:rStyle w:val="Hipercze"/>
            <w:rFonts w:asciiTheme="minorHAnsi" w:hAnsiTheme="minorHAnsi" w:cs="Verdana"/>
            <w:sz w:val="24"/>
            <w:szCs w:val="24"/>
          </w:rPr>
          <w:t>NP.zamówienia@orange.com</w:t>
        </w:r>
      </w:hyperlink>
      <w:r w:rsidR="00B27B1C" w:rsidRPr="00AC25D7">
        <w:rPr>
          <w:rFonts w:asciiTheme="minorHAnsi" w:hAnsiTheme="minorHAnsi"/>
          <w:sz w:val="24"/>
          <w:szCs w:val="24"/>
        </w:rPr>
        <w:t xml:space="preserve"> </w:t>
      </w:r>
    </w:p>
    <w:p w:rsidR="00F66338" w:rsidRPr="00AC25D7" w:rsidRDefault="00F66338" w:rsidP="00F66338">
      <w:pPr>
        <w:pStyle w:val="Akapitzlist"/>
        <w:spacing w:line="276" w:lineRule="auto"/>
        <w:ind w:left="1428" w:firstLine="0"/>
        <w:contextualSpacing/>
        <w:rPr>
          <w:rFonts w:asciiTheme="minorHAnsi" w:hAnsiTheme="minorHAnsi"/>
          <w:b/>
          <w:sz w:val="24"/>
          <w:szCs w:val="24"/>
        </w:rPr>
      </w:pPr>
    </w:p>
    <w:p w:rsidR="00F21C4A" w:rsidRPr="00AC25D7" w:rsidRDefault="00F21C4A" w:rsidP="00F7220B">
      <w:pPr>
        <w:pStyle w:val="Akapitzlist"/>
        <w:numPr>
          <w:ilvl w:val="0"/>
          <w:numId w:val="2"/>
        </w:numPr>
        <w:spacing w:line="276" w:lineRule="auto"/>
        <w:ind w:left="1428"/>
        <w:contextualSpacing/>
        <w:rPr>
          <w:rFonts w:asciiTheme="minorHAnsi" w:hAnsiTheme="minorHAnsi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Dla PT nie posiadającego Umowy SOR a posiadającego z OPL Umowę o współpracy międzyoperatorskiej wynikającej z obowiązku realizacji uprawnień abonentów do zachowania numeru w przypadku zmiany przedsiębiorcy telekomunikacyjnego</w:t>
      </w:r>
      <w:r w:rsidR="00B27B1C" w:rsidRPr="00AC25D7">
        <w:rPr>
          <w:rFonts w:asciiTheme="minorHAnsi" w:hAnsiTheme="minorHAnsi"/>
          <w:sz w:val="24"/>
          <w:szCs w:val="24"/>
        </w:rPr>
        <w:t>:</w:t>
      </w:r>
      <w:r w:rsidRPr="00AC25D7">
        <w:rPr>
          <w:rFonts w:asciiTheme="minorHAnsi" w:hAnsiTheme="minorHAnsi"/>
          <w:sz w:val="24"/>
          <w:szCs w:val="24"/>
        </w:rPr>
        <w:t xml:space="preserve"> </w:t>
      </w:r>
    </w:p>
    <w:p w:rsidR="00F21C4A" w:rsidRPr="00AC25D7" w:rsidRDefault="00F21C4A" w:rsidP="004C0824">
      <w:pPr>
        <w:pStyle w:val="Akapitzlist"/>
        <w:numPr>
          <w:ilvl w:val="0"/>
          <w:numId w:val="26"/>
        </w:numPr>
        <w:spacing w:line="276" w:lineRule="auto"/>
        <w:ind w:hanging="87"/>
        <w:contextualSpacing/>
        <w:rPr>
          <w:rFonts w:asciiTheme="minorHAnsi" w:hAnsiTheme="minorHAnsi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Gdy Dawcą jest część detaliczna OPL:</w:t>
      </w:r>
    </w:p>
    <w:p w:rsidR="00F21C4A" w:rsidRPr="00AC25D7" w:rsidRDefault="00B27B1C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proces NP</w:t>
      </w:r>
      <w:r w:rsidR="00F21C4A" w:rsidRPr="00AC25D7">
        <w:rPr>
          <w:rFonts w:asciiTheme="minorHAnsi" w:hAnsiTheme="minorHAnsi"/>
          <w:sz w:val="24"/>
          <w:szCs w:val="24"/>
        </w:rPr>
        <w:t xml:space="preserve"> realizowany </w:t>
      </w:r>
      <w:r w:rsidR="00F21C4A" w:rsidRPr="00AC25D7">
        <w:rPr>
          <w:rFonts w:asciiTheme="minorHAnsi" w:hAnsiTheme="minorHAnsi"/>
          <w:b/>
          <w:sz w:val="24"/>
          <w:szCs w:val="24"/>
        </w:rPr>
        <w:t xml:space="preserve">od 1 do 6 dni roboczych </w:t>
      </w:r>
      <w:r w:rsidR="00F21C4A" w:rsidRPr="00AC25D7">
        <w:rPr>
          <w:rFonts w:asciiTheme="minorHAnsi" w:hAnsiTheme="minorHAnsi"/>
          <w:sz w:val="24"/>
          <w:szCs w:val="24"/>
        </w:rPr>
        <w:t xml:space="preserve">– komunikacja poprzez e-mail </w:t>
      </w:r>
      <w:hyperlink r:id="rId11" w:history="1">
        <w:r w:rsidR="00F21C4A" w:rsidRPr="00AC25D7">
          <w:rPr>
            <w:rStyle w:val="Hipercze"/>
            <w:rFonts w:asciiTheme="minorHAnsi" w:hAnsiTheme="minorHAnsi"/>
            <w:sz w:val="24"/>
            <w:szCs w:val="24"/>
          </w:rPr>
          <w:t>NP1.DR@orange.com</w:t>
        </w:r>
      </w:hyperlink>
    </w:p>
    <w:p w:rsidR="00F21C4A" w:rsidRPr="00AC25D7" w:rsidRDefault="00F21C4A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proces realizowany w przedziale od 7 dni roboczych do 120 dni kalendarzowych – </w:t>
      </w:r>
      <w:hyperlink r:id="rId12" w:history="1">
        <w:r w:rsidR="00543E11" w:rsidRPr="00AC25D7">
          <w:rPr>
            <w:rStyle w:val="Hipercze"/>
            <w:rFonts w:asciiTheme="minorHAnsi" w:hAnsiTheme="minorHAnsi"/>
            <w:sz w:val="24"/>
            <w:szCs w:val="24"/>
          </w:rPr>
          <w:t>NP.zamowienia@orange.com</w:t>
        </w:r>
      </w:hyperlink>
    </w:p>
    <w:p w:rsidR="00F21C4A" w:rsidRPr="00AC25D7" w:rsidRDefault="00F21C4A" w:rsidP="004C0824">
      <w:pPr>
        <w:pStyle w:val="Akapitzlist"/>
        <w:numPr>
          <w:ilvl w:val="1"/>
          <w:numId w:val="2"/>
        </w:numPr>
        <w:spacing w:line="276" w:lineRule="auto"/>
        <w:ind w:left="1920" w:hanging="219"/>
        <w:contextualSpacing/>
        <w:rPr>
          <w:rFonts w:asciiTheme="minorHAnsi" w:hAnsiTheme="minorHAnsi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Gdy Dawcą jest PT powiązany z Usługa Hurtową</w:t>
      </w:r>
    </w:p>
    <w:p w:rsidR="00F21C4A" w:rsidRPr="005F64A0" w:rsidRDefault="00B27B1C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proces NP</w:t>
      </w:r>
      <w:r w:rsidR="00F21C4A" w:rsidRPr="00AC25D7">
        <w:rPr>
          <w:rFonts w:asciiTheme="minorHAnsi" w:hAnsiTheme="minorHAnsi"/>
          <w:sz w:val="24"/>
          <w:szCs w:val="24"/>
        </w:rPr>
        <w:t xml:space="preserve"> realizowany </w:t>
      </w:r>
      <w:r w:rsidR="00F21C4A" w:rsidRPr="00AC25D7">
        <w:rPr>
          <w:rFonts w:asciiTheme="minorHAnsi" w:hAnsiTheme="minorHAnsi"/>
          <w:b/>
          <w:sz w:val="24"/>
          <w:szCs w:val="24"/>
        </w:rPr>
        <w:t xml:space="preserve">od 1 do 6 dni roboczych </w:t>
      </w:r>
      <w:r w:rsidR="00F21C4A" w:rsidRPr="00AC25D7">
        <w:rPr>
          <w:rFonts w:asciiTheme="minorHAnsi" w:hAnsiTheme="minorHAnsi"/>
          <w:sz w:val="24"/>
          <w:szCs w:val="24"/>
        </w:rPr>
        <w:t xml:space="preserve">– komunikacja </w:t>
      </w:r>
      <w:r w:rsidR="00F21C4A" w:rsidRPr="005F64A0">
        <w:rPr>
          <w:rFonts w:asciiTheme="minorHAnsi" w:hAnsiTheme="minorHAnsi"/>
          <w:sz w:val="24"/>
          <w:szCs w:val="24"/>
        </w:rPr>
        <w:t xml:space="preserve">poprzez e-mail </w:t>
      </w:r>
      <w:hyperlink r:id="rId13" w:history="1">
        <w:r w:rsidR="00543E11" w:rsidRPr="005F64A0">
          <w:rPr>
            <w:rStyle w:val="Hipercze"/>
            <w:rFonts w:asciiTheme="minorHAnsi" w:hAnsiTheme="minorHAnsi"/>
            <w:sz w:val="24"/>
            <w:szCs w:val="24"/>
          </w:rPr>
          <w:t>NP.WLR1DR@orange.com</w:t>
        </w:r>
      </w:hyperlink>
    </w:p>
    <w:p w:rsidR="00F21C4A" w:rsidRPr="005F64A0" w:rsidRDefault="00F21C4A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proces realizowany w przedziale od 7 dni roboczych do 120 dni kalendarzowych – </w:t>
      </w:r>
      <w:hyperlink r:id="rId14" w:history="1">
        <w:r w:rsidR="00543E11" w:rsidRPr="005F64A0">
          <w:rPr>
            <w:rStyle w:val="Hipercze"/>
            <w:rFonts w:asciiTheme="minorHAnsi" w:hAnsiTheme="minorHAnsi"/>
            <w:sz w:val="24"/>
            <w:szCs w:val="24"/>
          </w:rPr>
          <w:t>NP.WLR@orange.com</w:t>
        </w:r>
      </w:hyperlink>
    </w:p>
    <w:p w:rsidR="00F66338" w:rsidRPr="005F64A0" w:rsidRDefault="00F66338" w:rsidP="00F66338">
      <w:pPr>
        <w:pStyle w:val="Akapitzlist"/>
        <w:spacing w:line="276" w:lineRule="auto"/>
        <w:ind w:left="1428" w:firstLine="0"/>
        <w:contextualSpacing/>
        <w:rPr>
          <w:rFonts w:asciiTheme="minorHAnsi" w:hAnsiTheme="minorHAnsi"/>
          <w:b/>
          <w:sz w:val="24"/>
          <w:szCs w:val="24"/>
        </w:rPr>
      </w:pPr>
    </w:p>
    <w:p w:rsidR="00F21C4A" w:rsidRPr="005F64A0" w:rsidRDefault="00F21C4A" w:rsidP="00F7220B">
      <w:pPr>
        <w:pStyle w:val="Akapitzlist"/>
        <w:numPr>
          <w:ilvl w:val="0"/>
          <w:numId w:val="2"/>
        </w:numPr>
        <w:spacing w:line="276" w:lineRule="auto"/>
        <w:ind w:left="1428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Dla PT nie posiadającego Umowy SOR a posiadającego Porozumienie MPM</w:t>
      </w:r>
      <w:r w:rsidR="00B27B1C" w:rsidRPr="005F64A0">
        <w:rPr>
          <w:rFonts w:asciiTheme="minorHAnsi" w:hAnsiTheme="minorHAnsi"/>
          <w:sz w:val="24"/>
          <w:szCs w:val="24"/>
        </w:rPr>
        <w:t>:</w:t>
      </w:r>
      <w:r w:rsidRPr="005F64A0">
        <w:rPr>
          <w:rFonts w:asciiTheme="minorHAnsi" w:hAnsiTheme="minorHAnsi"/>
          <w:sz w:val="24"/>
          <w:szCs w:val="24"/>
        </w:rPr>
        <w:t xml:space="preserve"> </w:t>
      </w:r>
    </w:p>
    <w:p w:rsidR="00F21C4A" w:rsidRPr="005F64A0" w:rsidRDefault="00B27B1C" w:rsidP="004C0824">
      <w:pPr>
        <w:pStyle w:val="Akapitzlist"/>
        <w:numPr>
          <w:ilvl w:val="2"/>
          <w:numId w:val="28"/>
        </w:numPr>
        <w:spacing w:line="276" w:lineRule="auto"/>
        <w:ind w:left="1701" w:firstLine="0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proces NP</w:t>
      </w:r>
      <w:r w:rsidR="00F21C4A" w:rsidRPr="005F64A0">
        <w:rPr>
          <w:rFonts w:asciiTheme="minorHAnsi" w:hAnsiTheme="minorHAnsi"/>
          <w:sz w:val="24"/>
          <w:szCs w:val="24"/>
        </w:rPr>
        <w:t xml:space="preserve"> realizowany </w:t>
      </w:r>
      <w:r w:rsidR="00F21C4A" w:rsidRPr="005F64A0">
        <w:rPr>
          <w:rFonts w:asciiTheme="minorHAnsi" w:hAnsiTheme="minorHAnsi"/>
          <w:b/>
          <w:sz w:val="24"/>
          <w:szCs w:val="24"/>
        </w:rPr>
        <w:t>od 7 dni roboczych do 120 dni kalendarzowych</w:t>
      </w:r>
      <w:r w:rsidR="00F21C4A" w:rsidRPr="005F64A0">
        <w:rPr>
          <w:rFonts w:asciiTheme="minorHAnsi" w:hAnsiTheme="minorHAnsi"/>
          <w:sz w:val="24"/>
          <w:szCs w:val="24"/>
        </w:rPr>
        <w:t xml:space="preserve"> – komunikacja poprzez </w:t>
      </w:r>
      <w:r w:rsidRPr="005F64A0">
        <w:rPr>
          <w:rFonts w:asciiTheme="minorHAnsi" w:hAnsiTheme="minorHAnsi"/>
          <w:sz w:val="24"/>
          <w:szCs w:val="24"/>
        </w:rPr>
        <w:t>WWW</w:t>
      </w:r>
      <w:r w:rsidR="00F21C4A" w:rsidRPr="005F64A0">
        <w:rPr>
          <w:rFonts w:asciiTheme="minorHAnsi" w:hAnsiTheme="minorHAnsi"/>
          <w:sz w:val="24"/>
          <w:szCs w:val="24"/>
        </w:rPr>
        <w:t xml:space="preserve"> za pomocą certyfikowanych dostępów lub poprzez EKWD</w:t>
      </w:r>
    </w:p>
    <w:p w:rsidR="00F21C4A" w:rsidRPr="005F64A0" w:rsidRDefault="00F21C4A" w:rsidP="004C0824">
      <w:pPr>
        <w:pStyle w:val="Akapitzlist"/>
        <w:numPr>
          <w:ilvl w:val="2"/>
          <w:numId w:val="28"/>
        </w:numPr>
        <w:spacing w:line="276" w:lineRule="auto"/>
        <w:ind w:firstLine="489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Gdy Dawca jest część detaliczna OPL</w:t>
      </w:r>
      <w:r w:rsidR="00B27B1C" w:rsidRPr="005F64A0">
        <w:rPr>
          <w:rFonts w:asciiTheme="minorHAnsi" w:hAnsiTheme="minorHAnsi"/>
          <w:sz w:val="24"/>
          <w:szCs w:val="24"/>
        </w:rPr>
        <w:t>:</w:t>
      </w:r>
    </w:p>
    <w:p w:rsidR="00F21C4A" w:rsidRPr="005F64A0" w:rsidRDefault="00F21C4A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proces NP realizowany </w:t>
      </w:r>
      <w:r w:rsidRPr="005F64A0">
        <w:rPr>
          <w:rFonts w:asciiTheme="minorHAnsi" w:hAnsiTheme="minorHAnsi"/>
          <w:b/>
          <w:sz w:val="24"/>
          <w:szCs w:val="24"/>
        </w:rPr>
        <w:t xml:space="preserve">od 1 do 6 dni roboczych </w:t>
      </w:r>
      <w:r w:rsidRPr="005F64A0">
        <w:rPr>
          <w:rFonts w:asciiTheme="minorHAnsi" w:hAnsiTheme="minorHAnsi"/>
          <w:sz w:val="24"/>
          <w:szCs w:val="24"/>
        </w:rPr>
        <w:t xml:space="preserve">– komunikacja poprzez e-mail </w:t>
      </w:r>
      <w:hyperlink r:id="rId15" w:history="1">
        <w:r w:rsidRPr="005F64A0">
          <w:rPr>
            <w:rStyle w:val="Hipercze"/>
            <w:rFonts w:asciiTheme="minorHAnsi" w:hAnsiTheme="minorHAnsi"/>
            <w:sz w:val="24"/>
            <w:szCs w:val="24"/>
          </w:rPr>
          <w:t>NP1.DR@orange.com</w:t>
        </w:r>
      </w:hyperlink>
    </w:p>
    <w:p w:rsidR="00F21C4A" w:rsidRPr="005F64A0" w:rsidRDefault="00F21C4A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proces realizowany w przedziale od 7 dni roboczych do 120 dni kalendarzowych – </w:t>
      </w:r>
      <w:hyperlink r:id="rId16" w:history="1">
        <w:r w:rsidR="00543E11" w:rsidRPr="005F64A0">
          <w:rPr>
            <w:rStyle w:val="Hipercze"/>
            <w:rFonts w:asciiTheme="minorHAnsi" w:hAnsiTheme="minorHAnsi"/>
            <w:sz w:val="24"/>
            <w:szCs w:val="24"/>
          </w:rPr>
          <w:t>NP.zamowienia@orange.com</w:t>
        </w:r>
      </w:hyperlink>
    </w:p>
    <w:p w:rsidR="00F21C4A" w:rsidRPr="005F64A0" w:rsidRDefault="00F21C4A" w:rsidP="00F7220B">
      <w:pPr>
        <w:pStyle w:val="Akapitzlist"/>
        <w:numPr>
          <w:ilvl w:val="1"/>
          <w:numId w:val="2"/>
        </w:numPr>
        <w:spacing w:line="276" w:lineRule="auto"/>
        <w:ind w:left="1920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Gdy Dawcą jest PT powiązany z Usługa Hurtową</w:t>
      </w:r>
      <w:r w:rsidR="00B27B1C" w:rsidRPr="005F64A0">
        <w:rPr>
          <w:rFonts w:asciiTheme="minorHAnsi" w:hAnsiTheme="minorHAnsi"/>
          <w:sz w:val="24"/>
          <w:szCs w:val="24"/>
        </w:rPr>
        <w:t>:</w:t>
      </w:r>
    </w:p>
    <w:p w:rsidR="00F21C4A" w:rsidRPr="005F64A0" w:rsidRDefault="00F21C4A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proces NP realizowany </w:t>
      </w:r>
      <w:r w:rsidRPr="005F64A0">
        <w:rPr>
          <w:rFonts w:asciiTheme="minorHAnsi" w:hAnsiTheme="minorHAnsi"/>
          <w:b/>
          <w:sz w:val="24"/>
          <w:szCs w:val="24"/>
        </w:rPr>
        <w:t xml:space="preserve">od 1 do 6 dni roboczych </w:t>
      </w:r>
      <w:r w:rsidRPr="005F64A0">
        <w:rPr>
          <w:rFonts w:asciiTheme="minorHAnsi" w:hAnsiTheme="minorHAnsi"/>
          <w:sz w:val="24"/>
          <w:szCs w:val="24"/>
        </w:rPr>
        <w:t xml:space="preserve">– komunikacja poprzez e-mail </w:t>
      </w:r>
      <w:hyperlink r:id="rId17" w:history="1">
        <w:r w:rsidRPr="005F64A0">
          <w:rPr>
            <w:rStyle w:val="Hipercze"/>
            <w:rFonts w:asciiTheme="minorHAnsi" w:hAnsiTheme="minorHAnsi"/>
            <w:sz w:val="24"/>
            <w:szCs w:val="24"/>
          </w:rPr>
          <w:t>NP.WLR1DR@orange.com</w:t>
        </w:r>
      </w:hyperlink>
    </w:p>
    <w:p w:rsidR="00F21C4A" w:rsidRPr="005F64A0" w:rsidRDefault="00F21C4A" w:rsidP="00F7220B">
      <w:pPr>
        <w:pStyle w:val="Akapitzlist"/>
        <w:numPr>
          <w:ilvl w:val="2"/>
          <w:numId w:val="2"/>
        </w:numPr>
        <w:spacing w:line="276" w:lineRule="auto"/>
        <w:ind w:left="2868"/>
        <w:contextualSpacing/>
        <w:rPr>
          <w:rFonts w:asciiTheme="minorHAnsi" w:hAnsiTheme="minorHAnsi"/>
          <w:b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proces realizowany w przedziale od 7 dni roboczych do 120 dni kalendarzowych – </w:t>
      </w:r>
      <w:hyperlink r:id="rId18" w:history="1">
        <w:r w:rsidR="00543E11" w:rsidRPr="005F64A0">
          <w:rPr>
            <w:rStyle w:val="Hipercze"/>
            <w:rFonts w:asciiTheme="minorHAnsi" w:hAnsiTheme="minorHAnsi"/>
            <w:sz w:val="24"/>
            <w:szCs w:val="24"/>
          </w:rPr>
          <w:t>NP.WLR@orange.com</w:t>
        </w:r>
      </w:hyperlink>
    </w:p>
    <w:p w:rsidR="00F21C4A" w:rsidRPr="005F64A0" w:rsidRDefault="00F21C4A" w:rsidP="00F66338">
      <w:pPr>
        <w:pStyle w:val="Akapitzlist"/>
        <w:spacing w:line="276" w:lineRule="auto"/>
        <w:ind w:left="1428" w:firstLine="0"/>
        <w:contextualSpacing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F7220B">
      <w:pPr>
        <w:pStyle w:val="Akapitzlist"/>
        <w:numPr>
          <w:ilvl w:val="0"/>
          <w:numId w:val="2"/>
        </w:numPr>
        <w:spacing w:line="276" w:lineRule="auto"/>
        <w:ind w:left="1428"/>
        <w:contextualSpacing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Dla PT, gdy po stronie Dawcy i Biorcy nie występuje powiązanie z Usługą Hurtową –</w:t>
      </w:r>
      <w:r w:rsidR="00B27B1C" w:rsidRPr="005F64A0">
        <w:rPr>
          <w:rFonts w:asciiTheme="minorHAnsi" w:hAnsiTheme="minorHAnsi"/>
          <w:sz w:val="24"/>
          <w:szCs w:val="24"/>
        </w:rPr>
        <w:t xml:space="preserve"> proces NP</w:t>
      </w:r>
      <w:r w:rsidRPr="005F64A0">
        <w:rPr>
          <w:rFonts w:asciiTheme="minorHAnsi" w:hAnsiTheme="minorHAnsi"/>
          <w:sz w:val="24"/>
          <w:szCs w:val="24"/>
        </w:rPr>
        <w:t xml:space="preserve"> realizowany </w:t>
      </w:r>
      <w:r w:rsidRPr="005F64A0">
        <w:rPr>
          <w:rFonts w:asciiTheme="minorHAnsi" w:hAnsiTheme="minorHAnsi"/>
          <w:b/>
          <w:sz w:val="24"/>
          <w:szCs w:val="24"/>
        </w:rPr>
        <w:t>od 1 dnia roboczego</w:t>
      </w:r>
      <w:r w:rsidRPr="005F64A0">
        <w:rPr>
          <w:rFonts w:asciiTheme="minorHAnsi" w:hAnsiTheme="minorHAnsi"/>
          <w:sz w:val="24"/>
          <w:szCs w:val="24"/>
        </w:rPr>
        <w:t xml:space="preserve"> – komunikacja poprzez e-mail, uzgodniony przez Strony w Umowie lub porozumieniu</w:t>
      </w:r>
      <w:r w:rsidR="00F66338" w:rsidRPr="005F64A0">
        <w:rPr>
          <w:rFonts w:asciiTheme="minorHAnsi" w:hAnsiTheme="minorHAnsi"/>
          <w:sz w:val="24"/>
          <w:szCs w:val="24"/>
        </w:rPr>
        <w:t>.</w:t>
      </w:r>
    </w:p>
    <w:p w:rsidR="00F21C4A" w:rsidRPr="005F64A0" w:rsidRDefault="00F21C4A" w:rsidP="00F66338">
      <w:pPr>
        <w:pStyle w:val="Akapitzlist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C4C42" w:rsidRPr="005F64A0" w:rsidRDefault="00F66338" w:rsidP="00DA5DB1">
      <w:pPr>
        <w:spacing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PT</w:t>
      </w:r>
      <w:r w:rsidR="00F21C4A" w:rsidRPr="005F64A0">
        <w:rPr>
          <w:rFonts w:asciiTheme="minorHAnsi" w:hAnsiTheme="minorHAnsi"/>
          <w:sz w:val="24"/>
          <w:szCs w:val="24"/>
        </w:rPr>
        <w:t xml:space="preserve"> posiadający zawartą z OPL i Umowę SOR, i Umowę o współpracy międzyoperatorskiej w zakresie realizacji  uprawnień Abonenta do zachowania numeru, </w:t>
      </w:r>
      <w:r w:rsidR="00F21C4A" w:rsidRPr="005F64A0">
        <w:rPr>
          <w:rFonts w:asciiTheme="minorHAnsi" w:hAnsiTheme="minorHAnsi"/>
          <w:b/>
          <w:sz w:val="24"/>
          <w:szCs w:val="24"/>
        </w:rPr>
        <w:t xml:space="preserve">MUSZĄ </w:t>
      </w:r>
      <w:r w:rsidR="00F21C4A" w:rsidRPr="005F64A0">
        <w:rPr>
          <w:rFonts w:asciiTheme="minorHAnsi" w:hAnsiTheme="minorHAnsi"/>
          <w:sz w:val="24"/>
          <w:szCs w:val="24"/>
        </w:rPr>
        <w:t xml:space="preserve">utrzymywać dwie ścieżki komunikacji: poprzez różne adresy email i </w:t>
      </w:r>
      <w:r w:rsidR="00F21C4A" w:rsidRPr="005F64A0">
        <w:rPr>
          <w:rFonts w:asciiTheme="minorHAnsi" w:hAnsiTheme="minorHAnsi"/>
          <w:sz w:val="24"/>
          <w:szCs w:val="24"/>
        </w:rPr>
        <w:lastRenderedPageBreak/>
        <w:t>poprzez ISI, gdy po stronie Dawcy występuję powiązanie z Usługą Hurtową</w:t>
      </w:r>
      <w:r w:rsidR="00D646CD" w:rsidRPr="005F64A0">
        <w:rPr>
          <w:rFonts w:asciiTheme="minorHAnsi" w:hAnsiTheme="minorHAnsi"/>
          <w:sz w:val="24"/>
          <w:szCs w:val="24"/>
        </w:rPr>
        <w:t xml:space="preserve"> lub gdy Dawcą jest Orange Polska.</w:t>
      </w: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DA5DB1">
      <w:pPr>
        <w:spacing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PT posiadający zawartą z OPL którąkolwiek z Umów regulujących realizację procesu, nie mogą anulować zamówienia Przen</w:t>
      </w:r>
      <w:r w:rsidR="00F66338" w:rsidRPr="005F64A0">
        <w:rPr>
          <w:rFonts w:asciiTheme="minorHAnsi" w:hAnsiTheme="minorHAnsi"/>
          <w:sz w:val="24"/>
          <w:szCs w:val="24"/>
        </w:rPr>
        <w:t>iesienia Numeru realizowanego w </w:t>
      </w:r>
      <w:r w:rsidRPr="005F64A0">
        <w:rPr>
          <w:rFonts w:asciiTheme="minorHAnsi" w:hAnsiTheme="minorHAnsi"/>
          <w:sz w:val="24"/>
          <w:szCs w:val="24"/>
        </w:rPr>
        <w:t>przedziale 1 – 6 dni roboczych</w:t>
      </w:r>
      <w:r w:rsidR="00B27B1C" w:rsidRPr="005F64A0">
        <w:rPr>
          <w:rFonts w:asciiTheme="minorHAnsi" w:hAnsiTheme="minorHAnsi"/>
          <w:sz w:val="24"/>
          <w:szCs w:val="24"/>
        </w:rPr>
        <w:t>.</w:t>
      </w:r>
    </w:p>
    <w:p w:rsidR="00F21C4A" w:rsidRPr="005F64A0" w:rsidRDefault="00F21C4A" w:rsidP="00A36BCF">
      <w:pPr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DA5DB1">
      <w:pPr>
        <w:tabs>
          <w:tab w:val="left" w:pos="709"/>
        </w:tabs>
        <w:spacing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b/>
          <w:sz w:val="24"/>
          <w:szCs w:val="24"/>
        </w:rPr>
        <w:t xml:space="preserve">Rekomendowany przez Wykonawcę i wybrany przez Zamawiającego </w:t>
      </w:r>
      <w:r w:rsidR="00D646CD" w:rsidRPr="005F64A0">
        <w:rPr>
          <w:rFonts w:asciiTheme="minorHAnsi" w:hAnsiTheme="minorHAnsi"/>
          <w:b/>
          <w:sz w:val="24"/>
          <w:szCs w:val="24"/>
        </w:rPr>
        <w:t>w</w:t>
      </w:r>
      <w:r w:rsidRPr="005F64A0">
        <w:rPr>
          <w:rFonts w:asciiTheme="minorHAnsi" w:hAnsiTheme="minorHAnsi"/>
          <w:b/>
          <w:sz w:val="24"/>
          <w:szCs w:val="24"/>
        </w:rPr>
        <w:t xml:space="preserve">ariant rozbudowy procesów głównych Systemu PLI CBD </w:t>
      </w:r>
      <w:r w:rsidRPr="005F64A0">
        <w:rPr>
          <w:rFonts w:asciiTheme="minorHAnsi" w:hAnsiTheme="minorHAnsi"/>
          <w:sz w:val="24"/>
          <w:szCs w:val="24"/>
        </w:rPr>
        <w:t xml:space="preserve">zakłada, że Biorca inicjuje proces Przeniesienia Numeru w Systemie PLI </w:t>
      </w:r>
      <w:r w:rsidR="00F66338" w:rsidRPr="005F64A0">
        <w:rPr>
          <w:rFonts w:asciiTheme="minorHAnsi" w:hAnsiTheme="minorHAnsi"/>
          <w:sz w:val="24"/>
          <w:szCs w:val="24"/>
        </w:rPr>
        <w:t>CBD, a dopiero po uzgodnieniu z </w:t>
      </w:r>
      <w:r w:rsidRPr="005F64A0">
        <w:rPr>
          <w:rFonts w:asciiTheme="minorHAnsi" w:hAnsiTheme="minorHAnsi"/>
          <w:sz w:val="24"/>
          <w:szCs w:val="24"/>
        </w:rPr>
        <w:t xml:space="preserve">Dawcą daty Przeniesienia Numeru, inicjuje zamówienie na </w:t>
      </w:r>
      <w:r w:rsidR="00D646CD" w:rsidRPr="005F64A0">
        <w:rPr>
          <w:rFonts w:asciiTheme="minorHAnsi" w:hAnsiTheme="minorHAnsi"/>
          <w:sz w:val="24"/>
          <w:szCs w:val="24"/>
        </w:rPr>
        <w:t xml:space="preserve">regulowaną </w:t>
      </w:r>
      <w:r w:rsidRPr="005F64A0">
        <w:rPr>
          <w:rFonts w:asciiTheme="minorHAnsi" w:hAnsiTheme="minorHAnsi"/>
          <w:sz w:val="24"/>
          <w:szCs w:val="24"/>
        </w:rPr>
        <w:t xml:space="preserve">Usługę </w:t>
      </w:r>
      <w:r w:rsidR="00D646CD" w:rsidRPr="005F64A0">
        <w:rPr>
          <w:rFonts w:asciiTheme="minorHAnsi" w:hAnsiTheme="minorHAnsi"/>
          <w:sz w:val="24"/>
          <w:szCs w:val="24"/>
        </w:rPr>
        <w:t xml:space="preserve">Hurtową </w:t>
      </w:r>
      <w:r w:rsidRPr="005F64A0">
        <w:rPr>
          <w:rFonts w:asciiTheme="minorHAnsi" w:hAnsiTheme="minorHAnsi"/>
          <w:sz w:val="24"/>
          <w:szCs w:val="24"/>
        </w:rPr>
        <w:t xml:space="preserve">w Orange Polska. W tym przypadku Wykonawca opracował  zasady bezpośredniej komunikacji pomiędzy Systemem PLI CBD oraz </w:t>
      </w:r>
      <w:r w:rsidR="00D646CD" w:rsidRPr="005F64A0">
        <w:rPr>
          <w:rFonts w:asciiTheme="minorHAnsi" w:hAnsiTheme="minorHAnsi"/>
          <w:sz w:val="24"/>
          <w:szCs w:val="24"/>
        </w:rPr>
        <w:t xml:space="preserve">systemem </w:t>
      </w:r>
      <w:r w:rsidRPr="005F64A0">
        <w:rPr>
          <w:rFonts w:asciiTheme="minorHAnsi" w:hAnsiTheme="minorHAnsi"/>
          <w:sz w:val="24"/>
          <w:szCs w:val="24"/>
        </w:rPr>
        <w:t xml:space="preserve">Orange Polska (obecnym Operatorem Infrastrukturalnym dla Regulowanych Usług Hurtowych), lecz jedynie na tych etapach procesu realizacji usługi Przeniesienia Numeru i Zamówienia Usługi Regulowanej, w których krytyczna jest spójność (synchronizacja) przebiegu obu procesów. </w:t>
      </w: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Jednocześnie Wykonawca przygotował </w:t>
      </w:r>
      <w:r w:rsidR="00F66338" w:rsidRPr="005F64A0">
        <w:rPr>
          <w:rFonts w:asciiTheme="minorHAnsi" w:hAnsiTheme="minorHAnsi"/>
          <w:sz w:val="24"/>
          <w:szCs w:val="24"/>
        </w:rPr>
        <w:t>propozycje niezbędnych zmian w </w:t>
      </w:r>
      <w:r w:rsidRPr="005F64A0">
        <w:rPr>
          <w:rFonts w:asciiTheme="minorHAnsi" w:hAnsiTheme="minorHAnsi"/>
          <w:sz w:val="24"/>
          <w:szCs w:val="24"/>
        </w:rPr>
        <w:t xml:space="preserve">Ofercie SOR. </w:t>
      </w: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DA5DB1">
      <w:pPr>
        <w:spacing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Wykonawca zaznacza, że </w:t>
      </w:r>
      <w:r w:rsidR="00EA3DB8" w:rsidRPr="005F64A0">
        <w:rPr>
          <w:rFonts w:asciiTheme="minorHAnsi" w:hAnsiTheme="minorHAnsi"/>
          <w:sz w:val="24"/>
          <w:szCs w:val="24"/>
        </w:rPr>
        <w:t>System</w:t>
      </w:r>
      <w:r w:rsidRPr="005F64A0">
        <w:rPr>
          <w:rFonts w:asciiTheme="minorHAnsi" w:hAnsiTheme="minorHAnsi"/>
          <w:sz w:val="24"/>
          <w:szCs w:val="24"/>
        </w:rPr>
        <w:t xml:space="preserve"> PLI CBD ma być tzw. „masterem” procesów przeniesienia numerów oraz Centralną Krajową Bazą Danych Numerów Przeniesionych, to główne założenie dla każdego z przedstawionych wariantów rozbudowy Systemu polega na przyjęciu, iż wszystkie sprawy związane z Przeniesieniem Numeru będą procesowane przez System PLI CBD. </w:t>
      </w: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DA5DB1">
      <w:pPr>
        <w:spacing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W ocenie Wykonawcy zastąpienie rozbieżnych praktyk rynkowych wprowadzenie</w:t>
      </w:r>
      <w:r w:rsidR="00D646CD" w:rsidRPr="005F64A0">
        <w:rPr>
          <w:rFonts w:asciiTheme="minorHAnsi" w:hAnsiTheme="minorHAnsi"/>
          <w:sz w:val="24"/>
          <w:szCs w:val="24"/>
        </w:rPr>
        <w:t>m</w:t>
      </w:r>
      <w:r w:rsidRPr="005F64A0">
        <w:rPr>
          <w:rFonts w:asciiTheme="minorHAnsi" w:hAnsiTheme="minorHAnsi"/>
          <w:sz w:val="24"/>
          <w:szCs w:val="24"/>
        </w:rPr>
        <w:t xml:space="preserve"> jednolitego modelu komunikacji międzyoperatorskiej</w:t>
      </w:r>
      <w:r w:rsidR="00EA3DB8" w:rsidRPr="005F64A0">
        <w:rPr>
          <w:rFonts w:asciiTheme="minorHAnsi" w:hAnsiTheme="minorHAnsi"/>
          <w:sz w:val="24"/>
          <w:szCs w:val="24"/>
        </w:rPr>
        <w:t xml:space="preserve"> już w okresie w którym zmiany Decyzji S</w:t>
      </w:r>
      <w:r w:rsidR="00F96E56" w:rsidRPr="005F64A0">
        <w:rPr>
          <w:rFonts w:asciiTheme="minorHAnsi" w:hAnsiTheme="minorHAnsi"/>
          <w:sz w:val="24"/>
          <w:szCs w:val="24"/>
        </w:rPr>
        <w:t>O</w:t>
      </w:r>
      <w:r w:rsidR="00EA3DB8" w:rsidRPr="005F64A0">
        <w:rPr>
          <w:rFonts w:asciiTheme="minorHAnsi" w:hAnsiTheme="minorHAnsi"/>
          <w:sz w:val="24"/>
          <w:szCs w:val="24"/>
        </w:rPr>
        <w:t>R nie będą jeszcze zaimplementowane</w:t>
      </w:r>
      <w:r w:rsidR="00D646CD" w:rsidRPr="005F64A0">
        <w:rPr>
          <w:rFonts w:asciiTheme="minorHAnsi" w:hAnsiTheme="minorHAnsi"/>
          <w:sz w:val="24"/>
          <w:szCs w:val="24"/>
        </w:rPr>
        <w:t>,</w:t>
      </w:r>
      <w:r w:rsidRPr="005F64A0">
        <w:rPr>
          <w:rFonts w:asciiTheme="minorHAnsi" w:hAnsiTheme="minorHAnsi"/>
          <w:sz w:val="24"/>
          <w:szCs w:val="24"/>
        </w:rPr>
        <w:t xml:space="preserve"> ma na celu ułatwienie Przedsiębiorcom Telekomunikacyjnym wdrożeni</w:t>
      </w:r>
      <w:r w:rsidR="00D646CD" w:rsidRPr="005F64A0">
        <w:rPr>
          <w:rFonts w:asciiTheme="minorHAnsi" w:hAnsiTheme="minorHAnsi"/>
          <w:sz w:val="24"/>
          <w:szCs w:val="24"/>
        </w:rPr>
        <w:t>e</w:t>
      </w:r>
      <w:r w:rsidRPr="005F64A0">
        <w:rPr>
          <w:rFonts w:asciiTheme="minorHAnsi" w:hAnsiTheme="minorHAnsi"/>
          <w:sz w:val="24"/>
          <w:szCs w:val="24"/>
        </w:rPr>
        <w:t xml:space="preserve"> projektowanych zasad realizacji procesu NP (a przy tym ograniczenia ryzyka ewentualnych błędów procesowych na etapie wdrażania dokumentacji technicznej i opóźnień w realizacji projektu).</w:t>
      </w: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5F64A0" w:rsidRDefault="00F21C4A" w:rsidP="004F5A97">
      <w:pPr>
        <w:spacing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Realizując kierunkową decyzję Zamawiającego</w:t>
      </w:r>
      <w:r w:rsidR="00D646CD" w:rsidRPr="005F64A0">
        <w:rPr>
          <w:rFonts w:asciiTheme="minorHAnsi" w:hAnsiTheme="minorHAnsi"/>
          <w:sz w:val="24"/>
          <w:szCs w:val="24"/>
        </w:rPr>
        <w:t xml:space="preserve"> </w:t>
      </w:r>
      <w:r w:rsidR="00E7078D" w:rsidRPr="005F64A0">
        <w:rPr>
          <w:rFonts w:asciiTheme="minorHAnsi" w:hAnsiTheme="minorHAnsi"/>
          <w:sz w:val="24"/>
          <w:szCs w:val="24"/>
        </w:rPr>
        <w:t xml:space="preserve">o </w:t>
      </w:r>
      <w:r w:rsidRPr="005F64A0">
        <w:rPr>
          <w:rFonts w:asciiTheme="minorHAnsi" w:hAnsiTheme="minorHAnsi"/>
          <w:sz w:val="24"/>
          <w:szCs w:val="24"/>
        </w:rPr>
        <w:t>rozbudowie</w:t>
      </w:r>
      <w:r w:rsidR="00F66338" w:rsidRPr="005F64A0">
        <w:rPr>
          <w:rFonts w:asciiTheme="minorHAnsi" w:hAnsiTheme="minorHAnsi"/>
          <w:sz w:val="24"/>
          <w:szCs w:val="24"/>
        </w:rPr>
        <w:t xml:space="preserve"> Systemu PLICBD w </w:t>
      </w:r>
      <w:r w:rsidRPr="005F64A0">
        <w:rPr>
          <w:rFonts w:asciiTheme="minorHAnsi" w:hAnsiTheme="minorHAnsi"/>
          <w:sz w:val="24"/>
          <w:szCs w:val="24"/>
        </w:rPr>
        <w:t>rekomendowanym przez Wykonawcę wariancie i jednocześnie biorąc pod uwagę czas niezbędny na przygotowanie zmian w Ofercie SOR, konsultację rynkowe, zawarcie stosownych aneksów na rynku operatorskim</w:t>
      </w:r>
      <w:r w:rsidR="00D646CD" w:rsidRPr="005F64A0">
        <w:rPr>
          <w:rFonts w:asciiTheme="minorHAnsi" w:hAnsiTheme="minorHAnsi"/>
          <w:sz w:val="24"/>
          <w:szCs w:val="24"/>
        </w:rPr>
        <w:t>,</w:t>
      </w:r>
      <w:r w:rsidRPr="005F64A0">
        <w:rPr>
          <w:rFonts w:asciiTheme="minorHAnsi" w:hAnsiTheme="minorHAnsi"/>
          <w:sz w:val="24"/>
          <w:szCs w:val="24"/>
        </w:rPr>
        <w:t xml:space="preserve"> przygotowanie i wdrożenie zmian w systemach informatycznych po stronie PT</w:t>
      </w:r>
      <w:r w:rsidR="00EA3DB8" w:rsidRPr="005F64A0">
        <w:rPr>
          <w:rFonts w:asciiTheme="minorHAnsi" w:hAnsiTheme="minorHAnsi"/>
          <w:sz w:val="24"/>
          <w:szCs w:val="24"/>
        </w:rPr>
        <w:t xml:space="preserve"> związane ze zmianami w S</w:t>
      </w:r>
      <w:r w:rsidR="00F96E56" w:rsidRPr="005F64A0">
        <w:rPr>
          <w:rFonts w:asciiTheme="minorHAnsi" w:hAnsiTheme="minorHAnsi"/>
          <w:sz w:val="24"/>
          <w:szCs w:val="24"/>
        </w:rPr>
        <w:t>O</w:t>
      </w:r>
      <w:r w:rsidR="00EA3DB8" w:rsidRPr="005F64A0">
        <w:rPr>
          <w:rFonts w:asciiTheme="minorHAnsi" w:hAnsiTheme="minorHAnsi"/>
          <w:sz w:val="24"/>
          <w:szCs w:val="24"/>
        </w:rPr>
        <w:t>R</w:t>
      </w:r>
      <w:r w:rsidRPr="005F64A0">
        <w:rPr>
          <w:rFonts w:asciiTheme="minorHAnsi" w:hAnsiTheme="minorHAnsi"/>
          <w:sz w:val="24"/>
          <w:szCs w:val="24"/>
        </w:rPr>
        <w:t xml:space="preserve">, </w:t>
      </w:r>
      <w:r w:rsidR="00DA5DB1" w:rsidRPr="005F64A0">
        <w:rPr>
          <w:rFonts w:asciiTheme="minorHAnsi" w:hAnsiTheme="minorHAnsi"/>
          <w:sz w:val="24"/>
          <w:szCs w:val="24"/>
        </w:rPr>
        <w:t xml:space="preserve">Wykonawca zaznacza, że nie jest </w:t>
      </w:r>
      <w:r w:rsidR="00E7078D" w:rsidRPr="005F64A0">
        <w:rPr>
          <w:rFonts w:asciiTheme="minorHAnsi" w:hAnsiTheme="minorHAnsi"/>
          <w:sz w:val="24"/>
          <w:szCs w:val="24"/>
        </w:rPr>
        <w:t xml:space="preserve">praktycznie </w:t>
      </w:r>
      <w:r w:rsidR="00DA5DB1" w:rsidRPr="005F64A0">
        <w:rPr>
          <w:rFonts w:asciiTheme="minorHAnsi" w:hAnsiTheme="minorHAnsi"/>
          <w:sz w:val="24"/>
          <w:szCs w:val="24"/>
        </w:rPr>
        <w:t>możliwe zamkniecie tego procesu do czerwca 2015r. W związku z powyższym</w:t>
      </w:r>
      <w:r w:rsidRPr="005F64A0">
        <w:rPr>
          <w:rFonts w:asciiTheme="minorHAnsi" w:hAnsiTheme="minorHAnsi"/>
          <w:sz w:val="24"/>
          <w:szCs w:val="24"/>
        </w:rPr>
        <w:t xml:space="preserve">, Wykonawca wnioskuje o wprowadzenie </w:t>
      </w:r>
      <w:r w:rsidRPr="005F64A0">
        <w:rPr>
          <w:rFonts w:asciiTheme="minorHAnsi" w:hAnsiTheme="minorHAnsi"/>
          <w:sz w:val="24"/>
          <w:szCs w:val="24"/>
        </w:rPr>
        <w:lastRenderedPageBreak/>
        <w:t xml:space="preserve">okresu przejściowego </w:t>
      </w:r>
      <w:r w:rsidR="00D646CD" w:rsidRPr="005F64A0">
        <w:rPr>
          <w:rFonts w:asciiTheme="minorHAnsi" w:hAnsiTheme="minorHAnsi"/>
          <w:sz w:val="24"/>
          <w:szCs w:val="24"/>
        </w:rPr>
        <w:t>dla realizacji procesu Przeniesienia Numeru w sieciach stacjonarnych,</w:t>
      </w:r>
      <w:r w:rsidR="00DA5DB1" w:rsidRPr="005F64A0">
        <w:rPr>
          <w:rFonts w:asciiTheme="minorHAnsi" w:hAnsiTheme="minorHAnsi"/>
          <w:sz w:val="24"/>
          <w:szCs w:val="24"/>
        </w:rPr>
        <w:t xml:space="preserve"> który będzie obowiązywał</w:t>
      </w:r>
      <w:r w:rsidR="00D646CD" w:rsidRPr="005F64A0">
        <w:rPr>
          <w:rFonts w:asciiTheme="minorHAnsi" w:hAnsiTheme="minorHAnsi"/>
          <w:sz w:val="24"/>
          <w:szCs w:val="24"/>
        </w:rPr>
        <w:t xml:space="preserve"> </w:t>
      </w:r>
      <w:r w:rsidRPr="005F64A0">
        <w:rPr>
          <w:rFonts w:asciiTheme="minorHAnsi" w:hAnsiTheme="minorHAnsi"/>
          <w:sz w:val="24"/>
          <w:szCs w:val="24"/>
        </w:rPr>
        <w:t>do czasu realizacji wybranego przez Zamawiającego wariantu</w:t>
      </w:r>
      <w:r w:rsidR="006C4C42" w:rsidRPr="005F64A0">
        <w:rPr>
          <w:rFonts w:asciiTheme="minorHAnsi" w:hAnsiTheme="minorHAnsi"/>
          <w:sz w:val="24"/>
          <w:szCs w:val="24"/>
        </w:rPr>
        <w:t>, czyli wprowadzenia zaprojektowanych zmian w S</w:t>
      </w:r>
      <w:r w:rsidR="00DA5DB1" w:rsidRPr="005F64A0">
        <w:rPr>
          <w:rFonts w:asciiTheme="minorHAnsi" w:hAnsiTheme="minorHAnsi"/>
          <w:sz w:val="24"/>
          <w:szCs w:val="24"/>
        </w:rPr>
        <w:t>O</w:t>
      </w:r>
      <w:r w:rsidR="006C4C42" w:rsidRPr="005F64A0">
        <w:rPr>
          <w:rFonts w:asciiTheme="minorHAnsi" w:hAnsiTheme="minorHAnsi"/>
          <w:sz w:val="24"/>
          <w:szCs w:val="24"/>
        </w:rPr>
        <w:t xml:space="preserve">R. </w:t>
      </w:r>
    </w:p>
    <w:p w:rsidR="00D646CD" w:rsidRPr="005F64A0" w:rsidRDefault="00D646CD" w:rsidP="0045570E">
      <w:pPr>
        <w:spacing w:line="276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F21C4A" w:rsidRPr="005F64A0" w:rsidRDefault="0045570E" w:rsidP="0045570E">
      <w:pPr>
        <w:spacing w:line="276" w:lineRule="auto"/>
        <w:ind w:left="720" w:firstLine="0"/>
        <w:contextualSpacing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b/>
          <w:sz w:val="24"/>
          <w:szCs w:val="24"/>
          <w:u w:val="single"/>
        </w:rPr>
        <w:t xml:space="preserve">Głównym założeniem dla okresu przejściowego, jest </w:t>
      </w:r>
      <w:r w:rsidR="00F21C4A" w:rsidRPr="005F64A0">
        <w:rPr>
          <w:rFonts w:asciiTheme="minorHAnsi" w:hAnsiTheme="minorHAnsi"/>
          <w:sz w:val="24"/>
          <w:szCs w:val="24"/>
        </w:rPr>
        <w:t>realizacj</w:t>
      </w:r>
      <w:r w:rsidR="00E7078D" w:rsidRPr="005F64A0">
        <w:rPr>
          <w:rFonts w:asciiTheme="minorHAnsi" w:hAnsiTheme="minorHAnsi"/>
          <w:sz w:val="24"/>
          <w:szCs w:val="24"/>
        </w:rPr>
        <w:t>a</w:t>
      </w:r>
      <w:r w:rsidR="00F21C4A" w:rsidRPr="005F64A0">
        <w:rPr>
          <w:rFonts w:asciiTheme="minorHAnsi" w:hAnsiTheme="minorHAnsi"/>
          <w:sz w:val="24"/>
          <w:szCs w:val="24"/>
        </w:rPr>
        <w:t xml:space="preserve"> procesu</w:t>
      </w:r>
      <w:r w:rsidR="00B27B1C" w:rsidRPr="005F64A0">
        <w:rPr>
          <w:rFonts w:asciiTheme="minorHAnsi" w:hAnsiTheme="minorHAnsi"/>
          <w:sz w:val="24"/>
          <w:szCs w:val="24"/>
        </w:rPr>
        <w:t xml:space="preserve"> NP</w:t>
      </w:r>
      <w:r w:rsidR="00F21C4A" w:rsidRPr="005F64A0">
        <w:rPr>
          <w:rFonts w:asciiTheme="minorHAnsi" w:hAnsiTheme="minorHAnsi"/>
          <w:sz w:val="24"/>
          <w:szCs w:val="24"/>
        </w:rPr>
        <w:t xml:space="preserve"> </w:t>
      </w:r>
      <w:r w:rsidR="00F21C4A" w:rsidRPr="005F64A0">
        <w:rPr>
          <w:rFonts w:asciiTheme="minorHAnsi" w:hAnsiTheme="minorHAnsi"/>
          <w:b/>
          <w:sz w:val="24"/>
          <w:szCs w:val="24"/>
          <w:u w:val="single"/>
        </w:rPr>
        <w:t>w jednym rynkowym standardzie dla wszystkich Przedsiębiorców Telekomunikacyjnych, niezależnie od posiadanych umów</w:t>
      </w:r>
      <w:r w:rsidR="00F21C4A" w:rsidRPr="005F64A0">
        <w:rPr>
          <w:rFonts w:asciiTheme="minorHAnsi" w:hAnsiTheme="minorHAnsi"/>
          <w:sz w:val="24"/>
          <w:szCs w:val="24"/>
        </w:rPr>
        <w:t xml:space="preserve"> (w tym Umowy SOR) i porozumień międzyoperatorskich</w:t>
      </w:r>
      <w:r w:rsidR="00F66338" w:rsidRPr="005F64A0">
        <w:rPr>
          <w:rFonts w:asciiTheme="minorHAnsi" w:hAnsiTheme="minorHAnsi"/>
          <w:sz w:val="24"/>
          <w:szCs w:val="24"/>
        </w:rPr>
        <w:t xml:space="preserve"> i </w:t>
      </w:r>
      <w:r w:rsidR="00F21C4A" w:rsidRPr="005F64A0">
        <w:rPr>
          <w:rFonts w:asciiTheme="minorHAnsi" w:hAnsiTheme="minorHAnsi"/>
          <w:sz w:val="24"/>
          <w:szCs w:val="24"/>
        </w:rPr>
        <w:t>zastąpienie obecnej komunikacji poprzez e-mail, wymianą komunikatów poprzez System PLICBD</w:t>
      </w:r>
      <w:r w:rsidR="00E7078D" w:rsidRPr="005F64A0">
        <w:rPr>
          <w:rFonts w:asciiTheme="minorHAnsi" w:hAnsiTheme="minorHAnsi"/>
          <w:sz w:val="24"/>
          <w:szCs w:val="24"/>
        </w:rPr>
        <w:t>.</w:t>
      </w:r>
    </w:p>
    <w:p w:rsidR="00F21C4A" w:rsidRPr="005F64A0" w:rsidRDefault="00F21C4A" w:rsidP="0045570E">
      <w:pPr>
        <w:spacing w:line="276" w:lineRule="auto"/>
        <w:ind w:left="720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F21C4A" w:rsidRPr="005F64A0" w:rsidRDefault="00F21C4A" w:rsidP="0045570E">
      <w:pPr>
        <w:spacing w:line="276" w:lineRule="auto"/>
        <w:ind w:left="720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F21C4A" w:rsidRPr="005F64A0" w:rsidRDefault="00F21C4A" w:rsidP="0045570E">
      <w:pPr>
        <w:spacing w:line="276" w:lineRule="auto"/>
        <w:ind w:left="709" w:firstLine="11"/>
        <w:rPr>
          <w:rFonts w:asciiTheme="minorHAnsi" w:hAnsiTheme="minorHAnsi"/>
          <w:b/>
          <w:sz w:val="24"/>
          <w:szCs w:val="24"/>
          <w:u w:val="single"/>
        </w:rPr>
      </w:pPr>
      <w:r w:rsidRPr="005F64A0">
        <w:rPr>
          <w:rFonts w:asciiTheme="minorHAnsi" w:hAnsiTheme="minorHAnsi"/>
          <w:b/>
          <w:sz w:val="24"/>
          <w:szCs w:val="24"/>
          <w:u w:val="single"/>
        </w:rPr>
        <w:t xml:space="preserve">Przeniesienie Numeru, gdy występuje powiązanie z Usługą Hurtową po stronie Biorcy (Migracja Usług Regulowanych </w:t>
      </w:r>
      <w:r w:rsidR="00B27B1C" w:rsidRPr="005F64A0">
        <w:rPr>
          <w:rFonts w:asciiTheme="minorHAnsi" w:hAnsiTheme="minorHAnsi"/>
          <w:b/>
          <w:sz w:val="24"/>
          <w:szCs w:val="24"/>
          <w:u w:val="single"/>
        </w:rPr>
        <w:t>w MWM), pozostaje bez zmian, do </w:t>
      </w:r>
      <w:r w:rsidRPr="005F64A0">
        <w:rPr>
          <w:rFonts w:asciiTheme="minorHAnsi" w:hAnsiTheme="minorHAnsi"/>
          <w:b/>
          <w:sz w:val="24"/>
          <w:szCs w:val="24"/>
          <w:u w:val="single"/>
        </w:rPr>
        <w:t>czasu wydania odpowiednich regulacji przez Prezesa UKE</w:t>
      </w:r>
      <w:r w:rsidR="00F66338" w:rsidRPr="005F64A0">
        <w:rPr>
          <w:rFonts w:asciiTheme="minorHAnsi" w:hAnsiTheme="minorHAnsi"/>
          <w:b/>
          <w:sz w:val="24"/>
          <w:szCs w:val="24"/>
          <w:u w:val="single"/>
        </w:rPr>
        <w:t>,</w:t>
      </w:r>
      <w:r w:rsidRPr="005F64A0">
        <w:rPr>
          <w:rFonts w:asciiTheme="minorHAnsi" w:hAnsiTheme="minorHAnsi"/>
          <w:b/>
          <w:sz w:val="24"/>
          <w:szCs w:val="24"/>
          <w:u w:val="single"/>
        </w:rPr>
        <w:t xml:space="preserve"> co umożliwi pełne uruchomienie wariantu rozbudowy procesów głównych Systemu PLI CBD rekomendowanego przez Wykonawcę </w:t>
      </w:r>
      <w:r w:rsidR="00F66338" w:rsidRPr="005F64A0">
        <w:rPr>
          <w:rFonts w:asciiTheme="minorHAnsi" w:hAnsiTheme="minorHAnsi"/>
          <w:b/>
          <w:sz w:val="24"/>
          <w:szCs w:val="24"/>
          <w:u w:val="single"/>
        </w:rPr>
        <w:t>i </w:t>
      </w:r>
      <w:r w:rsidRPr="005F64A0">
        <w:rPr>
          <w:rFonts w:asciiTheme="minorHAnsi" w:hAnsiTheme="minorHAnsi"/>
          <w:b/>
          <w:sz w:val="24"/>
          <w:szCs w:val="24"/>
          <w:u w:val="single"/>
        </w:rPr>
        <w:t>wybranego przez Zamawiającego</w:t>
      </w:r>
      <w:r w:rsidR="00B27B1C" w:rsidRPr="005F64A0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F21C4A" w:rsidRPr="005F64A0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362AA" w:rsidRPr="005F64A0" w:rsidRDefault="003362AA" w:rsidP="003362AA">
      <w:pPr>
        <w:pStyle w:val="Nagwek1"/>
        <w:pBdr>
          <w:top w:val="none" w:sz="0" w:space="0" w:color="auto"/>
        </w:pBdr>
        <w:spacing w:line="276" w:lineRule="auto"/>
        <w:ind w:left="431" w:hanging="431"/>
        <w:rPr>
          <w:rFonts w:asciiTheme="minorHAnsi" w:hAnsiTheme="minorHAnsi" w:cs="Arial"/>
          <w:b/>
          <w:color w:val="17365D"/>
          <w:sz w:val="28"/>
          <w:szCs w:val="24"/>
          <w:lang w:val="pl-PL"/>
        </w:rPr>
      </w:pPr>
      <w:bookmarkStart w:id="5" w:name="_Toc410210694"/>
      <w:r w:rsidRPr="005F64A0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>Realizacja procesów w okresie przejściowym</w:t>
      </w:r>
      <w:bookmarkEnd w:id="5"/>
    </w:p>
    <w:p w:rsidR="00F21C4A" w:rsidRPr="005F64A0" w:rsidRDefault="007C7CAC" w:rsidP="00A02B3C">
      <w:pPr>
        <w:pStyle w:val="Nagwek2"/>
        <w:rPr>
          <w:rFonts w:asciiTheme="minorHAnsi" w:hAnsiTheme="minorHAnsi"/>
          <w:b/>
          <w:lang w:val="pl-PL"/>
        </w:rPr>
      </w:pPr>
      <w:bookmarkStart w:id="6" w:name="_Toc410210695"/>
      <w:r w:rsidRPr="005F64A0">
        <w:rPr>
          <w:rFonts w:asciiTheme="minorHAnsi" w:hAnsiTheme="minorHAnsi"/>
          <w:b/>
          <w:lang w:val="pl-PL"/>
        </w:rPr>
        <w:t>P</w:t>
      </w:r>
      <w:r w:rsidR="00F21C4A" w:rsidRPr="005F64A0">
        <w:rPr>
          <w:rFonts w:asciiTheme="minorHAnsi" w:hAnsiTheme="minorHAnsi"/>
          <w:b/>
          <w:lang w:val="pl-PL"/>
        </w:rPr>
        <w:t xml:space="preserve">roces </w:t>
      </w:r>
      <w:r w:rsidR="00B27B1C" w:rsidRPr="005F64A0">
        <w:rPr>
          <w:rFonts w:asciiTheme="minorHAnsi" w:hAnsiTheme="minorHAnsi"/>
          <w:b/>
          <w:lang w:val="pl-PL"/>
        </w:rPr>
        <w:t xml:space="preserve">NP </w:t>
      </w:r>
      <w:r w:rsidR="00F21C4A" w:rsidRPr="005F64A0">
        <w:rPr>
          <w:rFonts w:asciiTheme="minorHAnsi" w:hAnsiTheme="minorHAnsi"/>
          <w:b/>
          <w:lang w:val="pl-PL"/>
        </w:rPr>
        <w:t xml:space="preserve">w </w:t>
      </w:r>
      <w:r w:rsidR="0045570E" w:rsidRPr="005F64A0">
        <w:rPr>
          <w:rFonts w:asciiTheme="minorHAnsi" w:hAnsiTheme="minorHAnsi"/>
          <w:b/>
          <w:lang w:val="pl-PL"/>
        </w:rPr>
        <w:t>okresie przejściowym</w:t>
      </w:r>
      <w:bookmarkEnd w:id="6"/>
    </w:p>
    <w:p w:rsidR="00F66338" w:rsidRPr="005F64A0" w:rsidRDefault="00F66338" w:rsidP="00F66338">
      <w:pPr>
        <w:keepNext/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B96F7D" w:rsidRDefault="0045570E" w:rsidP="00F66338">
      <w:pPr>
        <w:keepNext/>
        <w:spacing w:line="276" w:lineRule="auto"/>
        <w:rPr>
          <w:rFonts w:asciiTheme="minorHAnsi" w:hAnsiTheme="minorHAnsi"/>
          <w:sz w:val="24"/>
          <w:szCs w:val="24"/>
        </w:rPr>
      </w:pPr>
      <w:r w:rsidRPr="00043E10">
        <w:rPr>
          <w:rFonts w:asciiTheme="minorHAnsi" w:hAnsiTheme="minorHAnsi"/>
          <w:sz w:val="24"/>
          <w:szCs w:val="24"/>
        </w:rPr>
        <w:t>W okresie przejściowym,</w:t>
      </w:r>
      <w:r w:rsidR="00F21C4A" w:rsidRPr="00916474">
        <w:rPr>
          <w:rFonts w:asciiTheme="minorHAnsi" w:hAnsiTheme="minorHAnsi"/>
          <w:sz w:val="24"/>
          <w:szCs w:val="24"/>
        </w:rPr>
        <w:t xml:space="preserve"> wszys</w:t>
      </w:r>
      <w:r w:rsidR="00EA3DB8" w:rsidRPr="00737151">
        <w:rPr>
          <w:rFonts w:asciiTheme="minorHAnsi" w:hAnsiTheme="minorHAnsi"/>
          <w:sz w:val="24"/>
          <w:szCs w:val="24"/>
        </w:rPr>
        <w:t>cy</w:t>
      </w:r>
      <w:r w:rsidR="00F21C4A" w:rsidRPr="00C306A0">
        <w:rPr>
          <w:rFonts w:asciiTheme="minorHAnsi" w:hAnsiTheme="minorHAnsi"/>
          <w:sz w:val="24"/>
          <w:szCs w:val="24"/>
        </w:rPr>
        <w:t xml:space="preserve"> Przedsiębiorc</w:t>
      </w:r>
      <w:r w:rsidR="00EA3DB8" w:rsidRPr="002D0586">
        <w:rPr>
          <w:rFonts w:asciiTheme="minorHAnsi" w:hAnsiTheme="minorHAnsi"/>
          <w:sz w:val="24"/>
          <w:szCs w:val="24"/>
        </w:rPr>
        <w:t>y</w:t>
      </w:r>
      <w:r w:rsidR="00F21C4A" w:rsidRPr="00790A34">
        <w:rPr>
          <w:rFonts w:asciiTheme="minorHAnsi" w:hAnsiTheme="minorHAnsi"/>
          <w:sz w:val="24"/>
          <w:szCs w:val="24"/>
        </w:rPr>
        <w:t xml:space="preserve"> Telekomunikacyj</w:t>
      </w:r>
      <w:r w:rsidR="00EA3DB8" w:rsidRPr="001F69EC">
        <w:rPr>
          <w:rFonts w:asciiTheme="minorHAnsi" w:hAnsiTheme="minorHAnsi"/>
          <w:sz w:val="24"/>
          <w:szCs w:val="24"/>
        </w:rPr>
        <w:t>ni</w:t>
      </w:r>
      <w:r w:rsidR="00F21C4A" w:rsidRPr="00B96F7D">
        <w:rPr>
          <w:rFonts w:asciiTheme="minorHAnsi" w:hAnsiTheme="minorHAnsi"/>
          <w:sz w:val="24"/>
          <w:szCs w:val="24"/>
        </w:rPr>
        <w:t>,  w tym:</w:t>
      </w:r>
    </w:p>
    <w:p w:rsidR="00F21C4A" w:rsidRPr="001D05B5" w:rsidRDefault="00F21C4A" w:rsidP="00F7220B">
      <w:pPr>
        <w:pStyle w:val="Akapitzlist"/>
        <w:keepNext/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CD696C">
        <w:rPr>
          <w:rFonts w:asciiTheme="minorHAnsi" w:hAnsiTheme="minorHAnsi"/>
          <w:sz w:val="24"/>
          <w:szCs w:val="24"/>
        </w:rPr>
        <w:t>część detaliczn</w:t>
      </w:r>
      <w:r w:rsidR="00EA3DB8" w:rsidRPr="00FB3C74">
        <w:rPr>
          <w:rFonts w:asciiTheme="minorHAnsi" w:hAnsiTheme="minorHAnsi"/>
          <w:sz w:val="24"/>
          <w:szCs w:val="24"/>
        </w:rPr>
        <w:t>a</w:t>
      </w:r>
      <w:r w:rsidRPr="001D05B5">
        <w:rPr>
          <w:rFonts w:asciiTheme="minorHAnsi" w:hAnsiTheme="minorHAnsi"/>
          <w:sz w:val="24"/>
          <w:szCs w:val="24"/>
        </w:rPr>
        <w:t xml:space="preserve"> Orange Polska</w:t>
      </w:r>
    </w:p>
    <w:p w:rsidR="00F21C4A" w:rsidRPr="00FF4286" w:rsidRDefault="00F21C4A" w:rsidP="00F4167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 w:rsidRPr="00FF4286">
        <w:rPr>
          <w:rFonts w:asciiTheme="minorHAnsi" w:hAnsiTheme="minorHAnsi"/>
          <w:sz w:val="24"/>
          <w:szCs w:val="24"/>
        </w:rPr>
        <w:t xml:space="preserve">kilkuset pozostałych PT ( TV kablowe, Operatorzy Usług </w:t>
      </w:r>
      <w:proofErr w:type="spellStart"/>
      <w:r w:rsidRPr="00FF4286">
        <w:rPr>
          <w:rFonts w:asciiTheme="minorHAnsi" w:hAnsiTheme="minorHAnsi"/>
          <w:sz w:val="24"/>
          <w:szCs w:val="24"/>
        </w:rPr>
        <w:t>VoIP</w:t>
      </w:r>
      <w:proofErr w:type="spellEnd"/>
      <w:r w:rsidRPr="00FF4286">
        <w:rPr>
          <w:rFonts w:asciiTheme="minorHAnsi" w:hAnsiTheme="minorHAnsi"/>
          <w:sz w:val="24"/>
          <w:szCs w:val="24"/>
        </w:rPr>
        <w:t>, lokalni ISP,  Operatorzy telefonii stacjonarnej nie oferujący usług na bazie Usług Regulowanych), którzy maja zawarte stosowne umowy i porozumienia o współpracy w zakresie realizacji uprawnień Abonenta</w:t>
      </w:r>
      <w:r w:rsidR="008C648A" w:rsidRPr="00FF4286">
        <w:rPr>
          <w:rFonts w:asciiTheme="minorHAnsi" w:hAnsiTheme="minorHAnsi"/>
          <w:sz w:val="24"/>
          <w:szCs w:val="24"/>
        </w:rPr>
        <w:t xml:space="preserve"> do </w:t>
      </w:r>
      <w:r w:rsidR="00FF4286">
        <w:rPr>
          <w:rFonts w:asciiTheme="minorHAnsi" w:hAnsiTheme="minorHAnsi"/>
          <w:sz w:val="24"/>
          <w:szCs w:val="24"/>
        </w:rPr>
        <w:t>zachowania numeru przy zmianie Dostawcy Usług</w:t>
      </w:r>
    </w:p>
    <w:p w:rsidR="00662CAD" w:rsidRPr="005F64A0" w:rsidRDefault="00F21C4A" w:rsidP="00662CAD">
      <w:pPr>
        <w:spacing w:line="276" w:lineRule="auto"/>
        <w:ind w:left="426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obowiązuj</w:t>
      </w:r>
      <w:r w:rsidR="00352A56" w:rsidRPr="005F64A0">
        <w:rPr>
          <w:rFonts w:asciiTheme="minorHAnsi" w:hAnsiTheme="minorHAnsi"/>
          <w:sz w:val="24"/>
          <w:szCs w:val="24"/>
        </w:rPr>
        <w:t xml:space="preserve">ą </w:t>
      </w:r>
      <w:r w:rsidR="007C7CAC" w:rsidRPr="005F64A0">
        <w:rPr>
          <w:rFonts w:asciiTheme="minorHAnsi" w:hAnsiTheme="minorHAnsi"/>
          <w:sz w:val="24"/>
          <w:szCs w:val="24"/>
        </w:rPr>
        <w:t xml:space="preserve">zasady </w:t>
      </w:r>
      <w:r w:rsidRPr="005F64A0">
        <w:rPr>
          <w:rFonts w:asciiTheme="minorHAnsi" w:hAnsiTheme="minorHAnsi"/>
          <w:sz w:val="24"/>
          <w:szCs w:val="24"/>
        </w:rPr>
        <w:t>realizacji procesu Przeniesienia Numeru poprzez System PLICBD</w:t>
      </w:r>
      <w:r w:rsidR="00E7078D" w:rsidRPr="005F64A0">
        <w:rPr>
          <w:rFonts w:asciiTheme="minorHAnsi" w:hAnsiTheme="minorHAnsi"/>
          <w:sz w:val="24"/>
          <w:szCs w:val="24"/>
        </w:rPr>
        <w:t xml:space="preserve">, opisane w dokumencie </w:t>
      </w:r>
      <w:r w:rsidR="00352A56" w:rsidRPr="005F64A0">
        <w:rPr>
          <w:rFonts w:asciiTheme="minorHAnsi" w:hAnsiTheme="minorHAnsi"/>
          <w:sz w:val="24"/>
          <w:szCs w:val="24"/>
        </w:rPr>
        <w:t>Procesy główne w Systemie PLI CBD</w:t>
      </w:r>
      <w:r w:rsidR="00CD7A2A" w:rsidRPr="005F64A0">
        <w:rPr>
          <w:rFonts w:asciiTheme="minorHAnsi" w:hAnsiTheme="minorHAnsi"/>
          <w:sz w:val="24"/>
          <w:szCs w:val="24"/>
        </w:rPr>
        <w:t>.</w:t>
      </w:r>
      <w:r w:rsidR="00662CAD" w:rsidRPr="005F64A0">
        <w:rPr>
          <w:rFonts w:asciiTheme="minorHAnsi" w:hAnsiTheme="minorHAnsi"/>
          <w:sz w:val="24"/>
          <w:szCs w:val="24"/>
        </w:rPr>
        <w:t xml:space="preserve"> </w:t>
      </w:r>
    </w:p>
    <w:p w:rsidR="00662CAD" w:rsidRPr="005F64A0" w:rsidRDefault="00662CAD" w:rsidP="00CD7A2A">
      <w:pPr>
        <w:spacing w:line="276" w:lineRule="auto"/>
        <w:ind w:left="426" w:firstLine="0"/>
        <w:rPr>
          <w:rFonts w:asciiTheme="minorHAnsi" w:hAnsiTheme="minorHAnsi"/>
          <w:sz w:val="24"/>
          <w:szCs w:val="24"/>
        </w:rPr>
      </w:pPr>
    </w:p>
    <w:p w:rsidR="00662CAD" w:rsidRPr="005F64A0" w:rsidRDefault="00662CAD" w:rsidP="00CD7A2A">
      <w:pPr>
        <w:spacing w:line="276" w:lineRule="auto"/>
        <w:ind w:left="426" w:firstLine="0"/>
        <w:rPr>
          <w:rFonts w:asciiTheme="minorHAnsi" w:hAnsiTheme="minorHAnsi"/>
          <w:sz w:val="24"/>
          <w:szCs w:val="24"/>
        </w:rPr>
      </w:pPr>
    </w:p>
    <w:p w:rsidR="00CD7A2A" w:rsidRPr="005F64A0" w:rsidRDefault="00CD7A2A" w:rsidP="00CD7A2A">
      <w:pPr>
        <w:spacing w:line="276" w:lineRule="auto"/>
        <w:ind w:left="426" w:firstLine="0"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Natomiast proces realizacji Przeniesienia Numeru w Systemie PLI CBD dla:</w:t>
      </w:r>
    </w:p>
    <w:p w:rsidR="00CD7A2A" w:rsidRPr="005F64A0" w:rsidRDefault="00CD7A2A" w:rsidP="00CD7A2A">
      <w:pPr>
        <w:pStyle w:val="Akapitzlist"/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52 Przedsiębiorców Telekomunikacyjnych, którzy bazują na postanowieniach Porozumienia MPM zawartym z Orange Polska </w:t>
      </w:r>
    </w:p>
    <w:p w:rsidR="00CD7A2A" w:rsidRPr="005F64A0" w:rsidRDefault="00CD7A2A" w:rsidP="00CD7A2A">
      <w:pPr>
        <w:pStyle w:val="Akapitzlist"/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29 Przedsiębiorców Telekomunikacyjnych, którzy bazują na postanowieniach Umowy SOR zawartej z Orange Polska</w:t>
      </w:r>
    </w:p>
    <w:p w:rsidR="00CD7A2A" w:rsidRPr="005F64A0" w:rsidRDefault="00CD7A2A" w:rsidP="00CD7A2A">
      <w:pPr>
        <w:pStyle w:val="Akapitzlist"/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>Przedsiębiorców Telekomunikacyjnych, którzy posiadają zawartą z Orange Polska inna umowę na zakup regulowanych Usług Hurtowych WLR</w:t>
      </w:r>
    </w:p>
    <w:p w:rsidR="0094577F" w:rsidRPr="005F64A0" w:rsidRDefault="0094577F" w:rsidP="00CD7A2A">
      <w:pPr>
        <w:spacing w:line="276" w:lineRule="auto"/>
        <w:ind w:left="1080" w:firstLine="0"/>
        <w:contextualSpacing/>
        <w:rPr>
          <w:rFonts w:asciiTheme="minorHAnsi" w:hAnsiTheme="minorHAnsi"/>
          <w:sz w:val="24"/>
          <w:szCs w:val="24"/>
        </w:rPr>
      </w:pPr>
    </w:p>
    <w:p w:rsidR="0094577F" w:rsidRPr="005F64A0" w:rsidRDefault="00CD7A2A" w:rsidP="00CD7A2A">
      <w:pPr>
        <w:spacing w:line="276" w:lineRule="auto"/>
        <w:ind w:left="1080" w:firstLine="0"/>
        <w:contextualSpacing/>
        <w:rPr>
          <w:rFonts w:asciiTheme="minorHAnsi" w:hAnsiTheme="minorHAnsi"/>
          <w:sz w:val="24"/>
          <w:szCs w:val="24"/>
        </w:rPr>
      </w:pPr>
      <w:r w:rsidRPr="005F64A0">
        <w:rPr>
          <w:rFonts w:asciiTheme="minorHAnsi" w:hAnsiTheme="minorHAnsi"/>
          <w:sz w:val="24"/>
          <w:szCs w:val="24"/>
        </w:rPr>
        <w:t xml:space="preserve">realizowany będzie </w:t>
      </w:r>
      <w:r w:rsidR="0094577F" w:rsidRPr="005F64A0">
        <w:rPr>
          <w:rFonts w:asciiTheme="minorHAnsi" w:hAnsiTheme="minorHAnsi"/>
          <w:sz w:val="24"/>
          <w:szCs w:val="24"/>
        </w:rPr>
        <w:t xml:space="preserve">zgodnie z zasadami realizacji procesu </w:t>
      </w:r>
      <w:r w:rsidR="003362AA" w:rsidRPr="005F64A0">
        <w:rPr>
          <w:rFonts w:asciiTheme="minorHAnsi" w:hAnsiTheme="minorHAnsi"/>
          <w:sz w:val="24"/>
          <w:szCs w:val="24"/>
        </w:rPr>
        <w:t>NP</w:t>
      </w:r>
      <w:r w:rsidR="0094577F" w:rsidRPr="005F64A0">
        <w:rPr>
          <w:rFonts w:asciiTheme="minorHAnsi" w:hAnsiTheme="minorHAnsi"/>
          <w:sz w:val="24"/>
          <w:szCs w:val="24"/>
        </w:rPr>
        <w:t xml:space="preserve"> opisanego w dokumencie „</w:t>
      </w:r>
      <w:r w:rsidR="00955D9B" w:rsidRPr="005F64A0">
        <w:rPr>
          <w:rFonts w:asciiTheme="minorHAnsi" w:hAnsiTheme="minorHAnsi"/>
          <w:sz w:val="24"/>
          <w:szCs w:val="24"/>
        </w:rPr>
        <w:t>Opis procesów głównych</w:t>
      </w:r>
      <w:r w:rsidR="0094577F" w:rsidRPr="005F64A0">
        <w:rPr>
          <w:rFonts w:asciiTheme="minorHAnsi" w:hAnsiTheme="minorHAnsi"/>
          <w:sz w:val="24"/>
          <w:szCs w:val="24"/>
        </w:rPr>
        <w:t xml:space="preserve"> PLI CBD”, </w:t>
      </w:r>
      <w:r w:rsidR="00955D9B" w:rsidRPr="005F64A0">
        <w:rPr>
          <w:rFonts w:asciiTheme="minorHAnsi" w:hAnsiTheme="minorHAnsi"/>
          <w:sz w:val="24"/>
          <w:szCs w:val="24"/>
        </w:rPr>
        <w:t xml:space="preserve">z </w:t>
      </w:r>
      <w:r w:rsidR="00435A2E">
        <w:rPr>
          <w:rFonts w:asciiTheme="minorHAnsi" w:hAnsiTheme="minorHAnsi"/>
          <w:sz w:val="24"/>
          <w:szCs w:val="24"/>
        </w:rPr>
        <w:t>opisanymi niżej</w:t>
      </w:r>
      <w:r w:rsidR="00955D9B" w:rsidRPr="005F64A0">
        <w:rPr>
          <w:rFonts w:asciiTheme="minorHAnsi" w:hAnsiTheme="minorHAnsi"/>
          <w:sz w:val="24"/>
          <w:szCs w:val="24"/>
        </w:rPr>
        <w:t xml:space="preserve"> </w:t>
      </w:r>
      <w:r w:rsidR="0094577F" w:rsidRPr="005F64A0">
        <w:rPr>
          <w:rFonts w:asciiTheme="minorHAnsi" w:hAnsiTheme="minorHAnsi"/>
          <w:sz w:val="24"/>
          <w:szCs w:val="24"/>
        </w:rPr>
        <w:t>z</w:t>
      </w:r>
      <w:r w:rsidR="00955D9B" w:rsidRPr="005F64A0">
        <w:rPr>
          <w:rFonts w:asciiTheme="minorHAnsi" w:hAnsiTheme="minorHAnsi"/>
          <w:sz w:val="24"/>
          <w:szCs w:val="24"/>
        </w:rPr>
        <w:t>astrzeżenia</w:t>
      </w:r>
      <w:r w:rsidR="0094577F" w:rsidRPr="005F64A0">
        <w:rPr>
          <w:rFonts w:asciiTheme="minorHAnsi" w:hAnsiTheme="minorHAnsi"/>
          <w:sz w:val="24"/>
          <w:szCs w:val="24"/>
        </w:rPr>
        <w:t>m</w:t>
      </w:r>
      <w:r w:rsidR="00955D9B" w:rsidRPr="005F64A0">
        <w:rPr>
          <w:rFonts w:asciiTheme="minorHAnsi" w:hAnsiTheme="minorHAnsi"/>
          <w:sz w:val="24"/>
          <w:szCs w:val="24"/>
        </w:rPr>
        <w:t>i</w:t>
      </w:r>
      <w:r w:rsidR="00435A2E">
        <w:rPr>
          <w:rFonts w:asciiTheme="minorHAnsi" w:hAnsiTheme="minorHAnsi"/>
          <w:sz w:val="24"/>
          <w:szCs w:val="24"/>
        </w:rPr>
        <w:t>.</w:t>
      </w:r>
    </w:p>
    <w:p w:rsidR="00CD7A2A" w:rsidRPr="005F64A0" w:rsidRDefault="00CD7A2A" w:rsidP="00CD7A2A">
      <w:pPr>
        <w:spacing w:line="276" w:lineRule="auto"/>
        <w:ind w:left="1080" w:firstLine="0"/>
        <w:contextualSpacing/>
        <w:rPr>
          <w:rFonts w:asciiTheme="minorHAnsi" w:hAnsiTheme="minorHAnsi"/>
          <w:sz w:val="24"/>
          <w:szCs w:val="24"/>
        </w:rPr>
      </w:pPr>
    </w:p>
    <w:p w:rsidR="00E65248" w:rsidRPr="005F64A0" w:rsidRDefault="00E65248" w:rsidP="00A02B3C">
      <w:pPr>
        <w:pStyle w:val="Nagwek2"/>
        <w:rPr>
          <w:rFonts w:asciiTheme="minorHAnsi" w:hAnsiTheme="minorHAnsi"/>
          <w:b/>
          <w:lang w:val="pl-PL"/>
        </w:rPr>
      </w:pPr>
      <w:bookmarkStart w:id="7" w:name="_Toc410210696"/>
      <w:r w:rsidRPr="005F64A0">
        <w:rPr>
          <w:rFonts w:asciiTheme="minorHAnsi" w:hAnsiTheme="minorHAnsi"/>
          <w:b/>
          <w:lang w:val="pl-PL"/>
        </w:rPr>
        <w:t xml:space="preserve">Proces Przeniesienia Numeru od Dawcy świadczącego Usługi Hurtowe (WLR na </w:t>
      </w:r>
      <w:r w:rsidR="003362AA" w:rsidRPr="005F64A0">
        <w:rPr>
          <w:rFonts w:asciiTheme="minorHAnsi" w:hAnsiTheme="minorHAnsi"/>
          <w:b/>
          <w:lang w:val="pl-PL"/>
        </w:rPr>
        <w:t>NP</w:t>
      </w:r>
      <w:r w:rsidRPr="005F64A0">
        <w:rPr>
          <w:rFonts w:asciiTheme="minorHAnsi" w:hAnsiTheme="minorHAnsi"/>
          <w:b/>
          <w:lang w:val="pl-PL"/>
        </w:rPr>
        <w:t>) w okresie przejściowym</w:t>
      </w:r>
      <w:bookmarkEnd w:id="7"/>
    </w:p>
    <w:p w:rsidR="00E65248" w:rsidRPr="005F64A0" w:rsidRDefault="00E65248" w:rsidP="00CD7A2A">
      <w:pPr>
        <w:spacing w:line="276" w:lineRule="auto"/>
        <w:ind w:left="1080" w:firstLine="0"/>
        <w:contextualSpacing/>
        <w:rPr>
          <w:rFonts w:asciiTheme="minorHAnsi" w:hAnsiTheme="minorHAnsi"/>
          <w:sz w:val="24"/>
          <w:szCs w:val="24"/>
        </w:rPr>
      </w:pPr>
    </w:p>
    <w:p w:rsidR="00194E75" w:rsidRPr="00B96F7D" w:rsidRDefault="00352A56" w:rsidP="004C0824">
      <w:pPr>
        <w:pStyle w:val="HTML-wstpniesformatowany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1220"/>
        <w:jc w:val="both"/>
        <w:rPr>
          <w:rFonts w:asciiTheme="minorHAnsi" w:hAnsiTheme="minorHAnsi" w:cs="Arial"/>
          <w:sz w:val="24"/>
          <w:szCs w:val="24"/>
        </w:rPr>
      </w:pPr>
      <w:r w:rsidRPr="00043E10">
        <w:rPr>
          <w:rFonts w:asciiTheme="minorHAnsi" w:hAnsiTheme="minorHAnsi" w:cs="Arial"/>
          <w:sz w:val="24"/>
          <w:szCs w:val="24"/>
        </w:rPr>
        <w:t>Przeniesienie Numeru, gdy Dawca świadczy usługi głosowe na bazie U</w:t>
      </w:r>
      <w:r w:rsidR="00A60183" w:rsidRPr="00916474">
        <w:rPr>
          <w:rFonts w:asciiTheme="minorHAnsi" w:hAnsiTheme="minorHAnsi" w:cs="Arial"/>
          <w:sz w:val="24"/>
          <w:szCs w:val="24"/>
        </w:rPr>
        <w:t xml:space="preserve">sług </w:t>
      </w:r>
      <w:r w:rsidR="00A60183" w:rsidRPr="00737151">
        <w:rPr>
          <w:rFonts w:asciiTheme="minorHAnsi" w:hAnsiTheme="minorHAnsi" w:cs="Arial"/>
          <w:sz w:val="24"/>
          <w:szCs w:val="24"/>
        </w:rPr>
        <w:t>Hurtowych nabywanych od Operatora Infrastrukturalnego</w:t>
      </w:r>
      <w:r w:rsidRPr="00C306A0">
        <w:rPr>
          <w:rFonts w:asciiTheme="minorHAnsi" w:hAnsiTheme="minorHAnsi" w:cs="Arial"/>
          <w:sz w:val="24"/>
          <w:szCs w:val="24"/>
        </w:rPr>
        <w:t xml:space="preserve">, realizowane jest jako tzw. „czyste </w:t>
      </w:r>
      <w:r w:rsidR="002220F4" w:rsidRPr="002D0586">
        <w:rPr>
          <w:rFonts w:asciiTheme="minorHAnsi" w:hAnsiTheme="minorHAnsi" w:cs="Arial"/>
          <w:sz w:val="24"/>
          <w:szCs w:val="24"/>
        </w:rPr>
        <w:t>NP”</w:t>
      </w:r>
      <w:r w:rsidR="00194E75" w:rsidRPr="00790A34">
        <w:rPr>
          <w:rFonts w:asciiTheme="minorHAnsi" w:hAnsiTheme="minorHAnsi" w:cs="Arial"/>
          <w:sz w:val="24"/>
          <w:szCs w:val="24"/>
        </w:rPr>
        <w:t xml:space="preserve">, zgodnie z brzmieniem </w:t>
      </w:r>
      <w:r w:rsidR="00E65248" w:rsidRPr="001F69EC">
        <w:rPr>
          <w:rFonts w:asciiTheme="minorHAnsi" w:hAnsiTheme="minorHAnsi" w:cs="Arial"/>
          <w:sz w:val="24"/>
          <w:szCs w:val="24"/>
        </w:rPr>
        <w:t xml:space="preserve">opublikowanego przez Orange Polska  MWDP do Oferty </w:t>
      </w:r>
      <w:r w:rsidR="00194E75" w:rsidRPr="00B96F7D">
        <w:rPr>
          <w:rFonts w:asciiTheme="minorHAnsi" w:hAnsiTheme="minorHAnsi" w:cs="Arial"/>
          <w:sz w:val="24"/>
          <w:szCs w:val="24"/>
        </w:rPr>
        <w:t>SOR 5.0:</w:t>
      </w:r>
    </w:p>
    <w:p w:rsidR="00194E75" w:rsidRPr="005F64A0" w:rsidRDefault="00194E75" w:rsidP="004C0824">
      <w:pPr>
        <w:pStyle w:val="HTML-wstpniesformatowany"/>
        <w:numPr>
          <w:ilvl w:val="1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1940"/>
        <w:jc w:val="both"/>
        <w:rPr>
          <w:rFonts w:asciiTheme="minorHAnsi" w:hAnsiTheme="minorHAnsi" w:cs="Arial"/>
          <w:sz w:val="24"/>
          <w:szCs w:val="24"/>
        </w:rPr>
      </w:pPr>
      <w:r w:rsidRPr="00CD696C">
        <w:rPr>
          <w:rFonts w:asciiTheme="minorHAnsi" w:hAnsiTheme="minorHAnsi" w:cs="Arial"/>
          <w:i/>
          <w:sz w:val="24"/>
          <w:szCs w:val="24"/>
        </w:rPr>
        <w:t xml:space="preserve">„procesy </w:t>
      </w:r>
      <w:r w:rsidR="003362AA" w:rsidRPr="00FB3C74">
        <w:rPr>
          <w:rFonts w:asciiTheme="minorHAnsi" w:hAnsiTheme="minorHAnsi" w:cs="Arial"/>
          <w:i/>
          <w:sz w:val="24"/>
          <w:szCs w:val="24"/>
        </w:rPr>
        <w:t>NP</w:t>
      </w:r>
      <w:r w:rsidRPr="001D05B5">
        <w:rPr>
          <w:rFonts w:asciiTheme="minorHAnsi" w:hAnsiTheme="minorHAnsi" w:cs="Arial"/>
          <w:i/>
          <w:sz w:val="24"/>
          <w:szCs w:val="24"/>
        </w:rPr>
        <w:t xml:space="preserve"> (</w:t>
      </w:r>
      <w:proofErr w:type="spellStart"/>
      <w:r w:rsidRPr="001D05B5">
        <w:rPr>
          <w:rFonts w:asciiTheme="minorHAnsi" w:hAnsiTheme="minorHAnsi" w:cs="Arial"/>
          <w:i/>
          <w:sz w:val="24"/>
          <w:szCs w:val="24"/>
        </w:rPr>
        <w:t>Number</w:t>
      </w:r>
      <w:proofErr w:type="spellEnd"/>
      <w:r w:rsidRPr="001D05B5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1D05B5">
        <w:rPr>
          <w:rFonts w:asciiTheme="minorHAnsi" w:hAnsiTheme="minorHAnsi" w:cs="Arial"/>
          <w:i/>
          <w:sz w:val="24"/>
          <w:szCs w:val="24"/>
        </w:rPr>
        <w:t>Portability</w:t>
      </w:r>
      <w:proofErr w:type="spellEnd"/>
      <w:r w:rsidR="00E65248" w:rsidRPr="00C76EC4">
        <w:rPr>
          <w:rFonts w:asciiTheme="minorHAnsi" w:hAnsiTheme="minorHAnsi" w:cs="Arial"/>
          <w:i/>
          <w:sz w:val="24"/>
          <w:szCs w:val="24"/>
        </w:rPr>
        <w:t>)</w:t>
      </w:r>
      <w:r w:rsidRPr="00C764B1">
        <w:rPr>
          <w:rFonts w:asciiTheme="minorHAnsi" w:hAnsiTheme="minorHAnsi" w:cs="Arial"/>
          <w:i/>
          <w:sz w:val="24"/>
          <w:szCs w:val="24"/>
        </w:rPr>
        <w:t xml:space="preserve"> niepowiązane z migracją usług regulowa</w:t>
      </w:r>
      <w:r w:rsidRPr="005F64A0">
        <w:rPr>
          <w:rFonts w:asciiTheme="minorHAnsi" w:hAnsiTheme="minorHAnsi" w:cs="Arial"/>
          <w:i/>
          <w:sz w:val="24"/>
          <w:szCs w:val="24"/>
        </w:rPr>
        <w:t>nych do czasu wdrożenia PLICBD realizowane są w ramach Modelu Realizacji Procesów dla MPM oraz z wykorzystaniem kanału e-mail. Po wdrożeniu PLICBD procesy będą realizowane zgodnie z projektem. Wdrożenie poszczególnych funkcjonalności będzie realizowane w podziale na fazy, zgodnie z harmonogramem. D</w:t>
      </w:r>
      <w:r w:rsidR="00E7078D" w:rsidRPr="005F64A0">
        <w:rPr>
          <w:rFonts w:asciiTheme="minorHAnsi" w:hAnsiTheme="minorHAnsi" w:cs="Arial"/>
          <w:i/>
          <w:sz w:val="24"/>
          <w:szCs w:val="24"/>
        </w:rPr>
        <w:t>o</w:t>
      </w:r>
      <w:r w:rsidRPr="005F64A0">
        <w:rPr>
          <w:rFonts w:asciiTheme="minorHAnsi" w:hAnsiTheme="minorHAnsi" w:cs="Arial"/>
          <w:i/>
          <w:sz w:val="24"/>
          <w:szCs w:val="24"/>
        </w:rPr>
        <w:t xml:space="preserve"> czasu wdrożenia docelowej funkcjonalności realizacja odbywa się na podstawie harmonogramu z UKE</w:t>
      </w:r>
      <w:r w:rsidRPr="005F64A0">
        <w:rPr>
          <w:rFonts w:asciiTheme="minorHAnsi" w:hAnsiTheme="minorHAnsi" w:cs="Arial"/>
          <w:sz w:val="24"/>
          <w:szCs w:val="24"/>
        </w:rPr>
        <w:t>”</w:t>
      </w:r>
    </w:p>
    <w:p w:rsidR="00DD28B9" w:rsidRPr="005F64A0" w:rsidRDefault="00DD28B9" w:rsidP="004C08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1568"/>
        <w:jc w:val="both"/>
        <w:rPr>
          <w:rFonts w:asciiTheme="minorHAnsi" w:hAnsiTheme="minorHAnsi" w:cs="Arial"/>
          <w:sz w:val="24"/>
          <w:szCs w:val="24"/>
        </w:rPr>
      </w:pPr>
    </w:p>
    <w:p w:rsidR="00E65248" w:rsidRPr="005F64A0" w:rsidRDefault="00E65248" w:rsidP="004C0824">
      <w:pPr>
        <w:pStyle w:val="HTML-wstpniesformatowany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1220"/>
        <w:jc w:val="both"/>
        <w:rPr>
          <w:rFonts w:asciiTheme="minorHAnsi" w:hAnsiTheme="minorHAnsi" w:cs="Arial"/>
          <w:sz w:val="24"/>
          <w:szCs w:val="24"/>
        </w:rPr>
      </w:pPr>
      <w:r w:rsidRPr="005F64A0">
        <w:rPr>
          <w:rFonts w:asciiTheme="minorHAnsi" w:hAnsiTheme="minorHAnsi"/>
          <w:color w:val="943634"/>
          <w:sz w:val="24"/>
          <w:szCs w:val="24"/>
        </w:rPr>
        <w:t xml:space="preserve">Proces Przeniesienia Numeru </w:t>
      </w:r>
      <w:r w:rsidR="00C217B9" w:rsidRPr="005F64A0">
        <w:rPr>
          <w:rFonts w:asciiTheme="minorHAnsi" w:hAnsiTheme="minorHAnsi"/>
          <w:color w:val="943634"/>
          <w:sz w:val="24"/>
          <w:szCs w:val="24"/>
        </w:rPr>
        <w:t xml:space="preserve">od Dostawcy Usług wykorzystującego do świadczenia usługi detalicznej </w:t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 </w:t>
      </w:r>
      <w:r w:rsidR="00DC64F4" w:rsidRPr="005F64A0">
        <w:rPr>
          <w:rFonts w:asciiTheme="minorHAnsi" w:hAnsiTheme="minorHAnsi"/>
          <w:color w:val="943634"/>
          <w:sz w:val="24"/>
          <w:szCs w:val="24"/>
        </w:rPr>
        <w:t>U</w:t>
      </w:r>
      <w:r w:rsidRPr="005F64A0">
        <w:rPr>
          <w:rFonts w:asciiTheme="minorHAnsi" w:hAnsiTheme="minorHAnsi"/>
          <w:color w:val="943634"/>
          <w:sz w:val="24"/>
          <w:szCs w:val="24"/>
        </w:rPr>
        <w:t>sług</w:t>
      </w:r>
      <w:r w:rsidR="00C217B9" w:rsidRPr="005F64A0">
        <w:rPr>
          <w:rFonts w:asciiTheme="minorHAnsi" w:hAnsiTheme="minorHAnsi"/>
          <w:color w:val="943634"/>
          <w:sz w:val="24"/>
          <w:szCs w:val="24"/>
        </w:rPr>
        <w:t>ę</w:t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 </w:t>
      </w:r>
      <w:r w:rsidR="00DC64F4" w:rsidRPr="005F64A0">
        <w:rPr>
          <w:rFonts w:asciiTheme="minorHAnsi" w:hAnsiTheme="minorHAnsi"/>
          <w:color w:val="943634"/>
          <w:sz w:val="24"/>
          <w:szCs w:val="24"/>
        </w:rPr>
        <w:t>H</w:t>
      </w:r>
      <w:r w:rsidR="00C217B9" w:rsidRPr="005F64A0">
        <w:rPr>
          <w:rFonts w:asciiTheme="minorHAnsi" w:hAnsiTheme="minorHAnsi"/>
          <w:color w:val="943634"/>
          <w:sz w:val="24"/>
          <w:szCs w:val="24"/>
        </w:rPr>
        <w:t xml:space="preserve">urtową </w:t>
      </w:r>
      <w:r w:rsidRPr="005F64A0">
        <w:rPr>
          <w:rFonts w:asciiTheme="minorHAnsi" w:hAnsiTheme="minorHAnsi"/>
          <w:color w:val="943634"/>
          <w:sz w:val="24"/>
          <w:szCs w:val="24"/>
        </w:rPr>
        <w:t>WLR, łączący się z dezaktywacją dostępu na Usłudze Hurtowej WLR, realizowany jest w komunikacji wyłącznie poprzez System PLI CBD. Operator Infrastrukturalny dezaktywuje Usługę Hurtową WLR na podstawie otrzymanego komunikatu E13 z Systemu PLI CBD</w:t>
      </w:r>
      <w:r w:rsidR="00C217B9" w:rsidRPr="005F64A0">
        <w:rPr>
          <w:rFonts w:asciiTheme="minorHAnsi" w:hAnsiTheme="minorHAnsi"/>
          <w:color w:val="943634"/>
          <w:sz w:val="24"/>
          <w:szCs w:val="24"/>
        </w:rPr>
        <w:t>.</w:t>
      </w:r>
    </w:p>
    <w:p w:rsidR="00E65248" w:rsidRPr="005F64A0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/>
          <w:color w:val="943634"/>
          <w:sz w:val="24"/>
          <w:szCs w:val="24"/>
        </w:rPr>
      </w:pPr>
    </w:p>
    <w:p w:rsidR="00E65248" w:rsidRPr="005F64A0" w:rsidRDefault="00E65248" w:rsidP="00A02B3C">
      <w:pPr>
        <w:pStyle w:val="Nagwek2"/>
        <w:rPr>
          <w:rFonts w:asciiTheme="minorHAnsi" w:hAnsiTheme="minorHAnsi"/>
          <w:b/>
          <w:lang w:val="pl-PL"/>
        </w:rPr>
      </w:pPr>
      <w:bookmarkStart w:id="8" w:name="_Toc410210697"/>
      <w:r w:rsidRPr="005F64A0">
        <w:rPr>
          <w:rFonts w:asciiTheme="minorHAnsi" w:hAnsiTheme="minorHAnsi"/>
          <w:b/>
          <w:lang w:val="pl-PL"/>
        </w:rPr>
        <w:t>Proces dezaktywacji Numeru/zakresu Numerów przydzielonych Dostawcy Usług przez Operatora Infrastrukturalnego w Usłudze Hurtowej w okresie przejściowym</w:t>
      </w:r>
      <w:bookmarkEnd w:id="8"/>
    </w:p>
    <w:p w:rsidR="00E65248" w:rsidRPr="005F64A0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2D0586" w:rsidRDefault="00E65248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5F64A0">
        <w:rPr>
          <w:rFonts w:asciiTheme="minorHAnsi" w:hAnsiTheme="minorHAnsi"/>
          <w:color w:val="943634"/>
          <w:sz w:val="24"/>
          <w:szCs w:val="24"/>
        </w:rPr>
        <w:t>W przypadku rezygnacji</w:t>
      </w:r>
      <w:r w:rsidR="00764D49" w:rsidRPr="005F64A0">
        <w:rPr>
          <w:rFonts w:asciiTheme="minorHAnsi" w:hAnsiTheme="minorHAnsi"/>
          <w:color w:val="943634"/>
          <w:sz w:val="24"/>
          <w:szCs w:val="24"/>
        </w:rPr>
        <w:t xml:space="preserve"> przez Abonenta</w:t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 z usług </w:t>
      </w:r>
      <w:r w:rsidR="00C217B9" w:rsidRPr="00916474">
        <w:rPr>
          <w:rFonts w:asciiTheme="minorHAnsi" w:hAnsiTheme="minorHAnsi"/>
          <w:color w:val="943634"/>
          <w:sz w:val="24"/>
          <w:szCs w:val="24"/>
        </w:rPr>
        <w:t>detalicznych</w:t>
      </w:r>
      <w:r w:rsidRPr="00737151">
        <w:rPr>
          <w:rFonts w:asciiTheme="minorHAnsi" w:hAnsiTheme="minorHAnsi"/>
          <w:color w:val="943634"/>
          <w:sz w:val="24"/>
          <w:szCs w:val="24"/>
        </w:rPr>
        <w:t xml:space="preserve"> świadczonych przez Dostawcę Usług </w:t>
      </w:r>
      <w:r w:rsidR="00C217B9" w:rsidRPr="002D0586">
        <w:rPr>
          <w:rFonts w:asciiTheme="minorHAnsi" w:hAnsiTheme="minorHAnsi"/>
          <w:color w:val="943634"/>
          <w:sz w:val="24"/>
          <w:szCs w:val="24"/>
        </w:rPr>
        <w:t>z wykorzystaniem</w:t>
      </w:r>
      <w:r w:rsidRPr="00790A34">
        <w:rPr>
          <w:rFonts w:asciiTheme="minorHAnsi" w:hAnsiTheme="minorHAnsi"/>
          <w:color w:val="943634"/>
          <w:sz w:val="24"/>
          <w:szCs w:val="24"/>
        </w:rPr>
        <w:t xml:space="preserve"> Usługi Hurtowej WLR, skutkujących likwidacją </w:t>
      </w:r>
      <w:r w:rsidR="00DC64F4" w:rsidRPr="001F69EC">
        <w:rPr>
          <w:rFonts w:asciiTheme="minorHAnsi" w:hAnsiTheme="minorHAnsi"/>
          <w:color w:val="943634"/>
          <w:sz w:val="24"/>
          <w:szCs w:val="24"/>
        </w:rPr>
        <w:t xml:space="preserve">detalicznej </w:t>
      </w:r>
      <w:r w:rsidRPr="00B96F7D">
        <w:rPr>
          <w:rFonts w:asciiTheme="minorHAnsi" w:hAnsiTheme="minorHAnsi"/>
          <w:color w:val="943634"/>
          <w:sz w:val="24"/>
          <w:szCs w:val="24"/>
        </w:rPr>
        <w:t>usługi abonenckiej</w:t>
      </w:r>
      <w:r w:rsidRPr="00FB3C74">
        <w:rPr>
          <w:rFonts w:asciiTheme="minorHAnsi" w:hAnsiTheme="minorHAnsi"/>
          <w:color w:val="943634"/>
          <w:sz w:val="24"/>
          <w:szCs w:val="24"/>
        </w:rPr>
        <w:t xml:space="preserve"> i </w:t>
      </w:r>
      <w:r w:rsidR="00C217B9" w:rsidRPr="001D05B5">
        <w:rPr>
          <w:rFonts w:asciiTheme="minorHAnsi" w:hAnsiTheme="minorHAnsi"/>
          <w:color w:val="943634"/>
          <w:sz w:val="24"/>
          <w:szCs w:val="24"/>
        </w:rPr>
        <w:t xml:space="preserve">braku </w:t>
      </w:r>
      <w:r w:rsidR="00DC64F4" w:rsidRPr="00C76EC4">
        <w:rPr>
          <w:rFonts w:asciiTheme="minorHAnsi" w:hAnsiTheme="minorHAnsi"/>
          <w:color w:val="943634"/>
          <w:sz w:val="24"/>
          <w:szCs w:val="24"/>
        </w:rPr>
        <w:t>P</w:t>
      </w:r>
      <w:r w:rsidR="00C217B9" w:rsidRPr="005F64A0">
        <w:rPr>
          <w:rFonts w:asciiTheme="minorHAnsi" w:hAnsiTheme="minorHAnsi"/>
          <w:color w:val="943634"/>
          <w:sz w:val="24"/>
          <w:szCs w:val="24"/>
        </w:rPr>
        <w:t xml:space="preserve">rzeniesienia </w:t>
      </w:r>
      <w:r w:rsidRPr="005F64A0">
        <w:rPr>
          <w:rFonts w:asciiTheme="minorHAnsi" w:hAnsiTheme="minorHAnsi"/>
          <w:color w:val="943634"/>
          <w:sz w:val="24"/>
          <w:szCs w:val="24"/>
        </w:rPr>
        <w:t>Numeru</w:t>
      </w:r>
      <w:r w:rsidR="00C217B9" w:rsidRPr="005F64A0">
        <w:rPr>
          <w:rFonts w:asciiTheme="minorHAnsi" w:hAnsiTheme="minorHAnsi"/>
          <w:color w:val="943634"/>
          <w:sz w:val="24"/>
          <w:szCs w:val="24"/>
        </w:rPr>
        <w:t xml:space="preserve"> do kolejnego Dostawcy Usług</w:t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, Dostawca Usług zobowiązany jest </w:t>
      </w:r>
      <w:r w:rsidR="00D070D4" w:rsidRPr="005F64A0">
        <w:rPr>
          <w:rFonts w:asciiTheme="minorHAnsi" w:hAnsiTheme="minorHAnsi"/>
          <w:color w:val="943634"/>
          <w:sz w:val="24"/>
          <w:szCs w:val="24"/>
        </w:rPr>
        <w:t>przeprowadzić</w:t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 stosowną komunikację w Systemie PLI CBD</w:t>
      </w:r>
      <w:r w:rsidR="00D070D4" w:rsidRPr="005F64A0">
        <w:rPr>
          <w:rFonts w:asciiTheme="minorHAnsi" w:hAnsiTheme="minorHAnsi"/>
          <w:color w:val="943634"/>
          <w:sz w:val="24"/>
          <w:szCs w:val="24"/>
        </w:rPr>
        <w:t>, czyli wysłać komunikat E14 o zwrocie numeru</w:t>
      </w:r>
      <w:r w:rsidR="00C217B9" w:rsidRPr="002D0586">
        <w:rPr>
          <w:rFonts w:asciiTheme="minorHAnsi" w:hAnsiTheme="minorHAnsi"/>
          <w:color w:val="943634"/>
          <w:sz w:val="24"/>
          <w:szCs w:val="24"/>
        </w:rPr>
        <w:t>.</w:t>
      </w:r>
    </w:p>
    <w:p w:rsidR="00E65248" w:rsidRPr="00F4167F" w:rsidRDefault="00E65248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790A34">
        <w:rPr>
          <w:rFonts w:asciiTheme="minorHAnsi" w:hAnsiTheme="minorHAnsi"/>
          <w:color w:val="943634"/>
          <w:sz w:val="24"/>
          <w:szCs w:val="24"/>
        </w:rPr>
        <w:t xml:space="preserve">Przy </w:t>
      </w:r>
      <w:r w:rsidR="00FF4286">
        <w:rPr>
          <w:rFonts w:asciiTheme="minorHAnsi" w:hAnsiTheme="minorHAnsi"/>
          <w:color w:val="943634"/>
          <w:sz w:val="24"/>
          <w:szCs w:val="24"/>
        </w:rPr>
        <w:t xml:space="preserve">rezygnacji przez Abonenta z usług świadczonych przez Dostawcę Usług </w:t>
      </w:r>
      <w:r w:rsidRPr="00790A34">
        <w:rPr>
          <w:rFonts w:asciiTheme="minorHAnsi" w:hAnsiTheme="minorHAnsi"/>
          <w:color w:val="943634"/>
          <w:sz w:val="24"/>
          <w:szCs w:val="24"/>
        </w:rPr>
        <w:t>na Usłudze Hurtowej WLR, Dostawca Usług</w:t>
      </w:r>
      <w:r w:rsidR="004C3FE7">
        <w:rPr>
          <w:rFonts w:asciiTheme="minorHAnsi" w:hAnsiTheme="minorHAnsi"/>
          <w:color w:val="943634"/>
          <w:sz w:val="24"/>
          <w:szCs w:val="24"/>
        </w:rPr>
        <w:t xml:space="preserve">, </w:t>
      </w:r>
      <w:r w:rsidR="004C3FE7" w:rsidRPr="00F4167F">
        <w:rPr>
          <w:rFonts w:asciiTheme="minorHAnsi" w:hAnsiTheme="minorHAnsi"/>
          <w:color w:val="943634"/>
          <w:sz w:val="24"/>
          <w:szCs w:val="24"/>
          <w:highlight w:val="yellow"/>
        </w:rPr>
        <w:t>w dniu rozwiązania umowy z Abonentem</w:t>
      </w:r>
      <w:r w:rsidR="004C3FE7">
        <w:rPr>
          <w:rFonts w:asciiTheme="minorHAnsi" w:hAnsiTheme="minorHAnsi"/>
          <w:color w:val="943634"/>
          <w:sz w:val="24"/>
          <w:szCs w:val="24"/>
        </w:rPr>
        <w:t xml:space="preserve">, </w:t>
      </w:r>
      <w:r w:rsidRPr="00790A34">
        <w:rPr>
          <w:rFonts w:asciiTheme="minorHAnsi" w:hAnsiTheme="minorHAnsi"/>
          <w:color w:val="943634"/>
          <w:sz w:val="24"/>
          <w:szCs w:val="24"/>
        </w:rPr>
        <w:t>wysyła do Systemu PLICBD komunikat E14 inicjujący Zwrot Numeru dla dotychczasowego Numeru w Systemie PLI CBD.</w:t>
      </w:r>
    </w:p>
    <w:p w:rsidR="00282586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Dostawca Usług nie </w:t>
      </w:r>
      <w:r w:rsidRPr="009C555F">
        <w:rPr>
          <w:rFonts w:asciiTheme="minorHAnsi" w:hAnsiTheme="minorHAnsi" w:cs="Arial"/>
          <w:sz w:val="24"/>
          <w:szCs w:val="24"/>
        </w:rPr>
        <w:t xml:space="preserve">określa w komunikacie E14 </w:t>
      </w:r>
      <w:r>
        <w:rPr>
          <w:rFonts w:asciiTheme="minorHAnsi" w:hAnsiTheme="minorHAnsi" w:cs="Arial"/>
          <w:sz w:val="24"/>
          <w:szCs w:val="24"/>
        </w:rPr>
        <w:t>Przedsiębiorcy Telekomunikacyjnego, do którego Numer (Biorcy)</w:t>
      </w:r>
      <w:r w:rsidRPr="009C555F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Informację tę uzupełnia </w:t>
      </w:r>
      <w:r w:rsidRPr="009C555F">
        <w:rPr>
          <w:rFonts w:asciiTheme="minorHAnsi" w:hAnsiTheme="minorHAnsi" w:cs="Arial"/>
          <w:sz w:val="24"/>
          <w:szCs w:val="24"/>
        </w:rPr>
        <w:t>System PLI CBD na</w:t>
      </w:r>
      <w:r>
        <w:rPr>
          <w:rFonts w:asciiTheme="minorHAnsi" w:hAnsiTheme="minorHAnsi" w:cs="Arial"/>
          <w:sz w:val="24"/>
          <w:szCs w:val="24"/>
        </w:rPr>
        <w:t> </w:t>
      </w:r>
      <w:r w:rsidRPr="009C555F">
        <w:rPr>
          <w:rFonts w:asciiTheme="minorHAnsi" w:hAnsiTheme="minorHAnsi" w:cs="Arial"/>
          <w:sz w:val="24"/>
          <w:szCs w:val="24"/>
        </w:rPr>
        <w:t>podstawie tablic zagospodarowania numeracji z</w:t>
      </w:r>
      <w:r>
        <w:rPr>
          <w:rFonts w:asciiTheme="minorHAnsi" w:hAnsiTheme="minorHAnsi" w:cs="Arial"/>
          <w:sz w:val="24"/>
          <w:szCs w:val="24"/>
        </w:rPr>
        <w:t> </w:t>
      </w:r>
      <w:r w:rsidRPr="009C555F">
        <w:rPr>
          <w:rFonts w:asciiTheme="minorHAnsi" w:hAnsiTheme="minorHAnsi" w:cs="Arial"/>
          <w:sz w:val="24"/>
          <w:szCs w:val="24"/>
        </w:rPr>
        <w:t>uwzględnieniem udostępniania numeracji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>
        <w:rPr>
          <w:rFonts w:asciiTheme="minorHAnsi" w:hAnsiTheme="minorHAnsi" w:cs="Arial"/>
          <w:sz w:val="24"/>
          <w:szCs w:val="24"/>
        </w:rPr>
        <w:t xml:space="preserve"> na podstawie art.128 pt</w:t>
      </w:r>
      <w:r w:rsidRPr="009C555F">
        <w:rPr>
          <w:rFonts w:asciiTheme="minorHAnsi" w:hAnsiTheme="minorHAnsi" w:cs="Arial"/>
          <w:sz w:val="24"/>
          <w:szCs w:val="24"/>
        </w:rPr>
        <w:t>.</w:t>
      </w:r>
    </w:p>
    <w:p w:rsidR="007A3C01" w:rsidRPr="00F4167F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r w:rsidRPr="00282586">
        <w:rPr>
          <w:rFonts w:asciiTheme="minorHAnsi" w:hAnsiTheme="minorHAnsi"/>
          <w:color w:val="943634"/>
          <w:sz w:val="24"/>
          <w:szCs w:val="24"/>
        </w:rPr>
        <w:t xml:space="preserve"> </w:t>
      </w:r>
      <w:r w:rsidRPr="00B96F7D">
        <w:rPr>
          <w:rFonts w:asciiTheme="minorHAnsi" w:hAnsiTheme="minorHAnsi" w:cs="Arial"/>
          <w:sz w:val="24"/>
          <w:szCs w:val="24"/>
        </w:rPr>
        <w:t>System PLI CBD po weryfikacji komunikatu E14 otrzymanego od Dostawcy Usług, wysyła komunikat E14 do Przedsiębiorców Telekomunikacyjnych</w:t>
      </w:r>
      <w:r w:rsidR="007A3C01">
        <w:rPr>
          <w:rFonts w:asciiTheme="minorHAnsi" w:hAnsiTheme="minorHAnsi" w:cs="Arial"/>
          <w:sz w:val="24"/>
          <w:szCs w:val="24"/>
        </w:rPr>
        <w:t xml:space="preserve"> oraz do Operatora Infrastrukturalnego, który na ten podstawie realizuje dezaktywację </w:t>
      </w:r>
      <w:r w:rsidRPr="007A3C01">
        <w:rPr>
          <w:rFonts w:asciiTheme="minorHAnsi" w:hAnsiTheme="minorHAnsi" w:cs="Arial"/>
          <w:sz w:val="24"/>
          <w:szCs w:val="24"/>
        </w:rPr>
        <w:t xml:space="preserve">Usługi Hurtowej powiązanej z Numerem Przeniesionym </w:t>
      </w:r>
    </w:p>
    <w:p w:rsidR="00282586" w:rsidRPr="007A3C01" w:rsidRDefault="007A3C01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Dezaktywacja Usługi Hurtowej</w:t>
      </w:r>
      <w:r w:rsidR="00282586" w:rsidRPr="007A3C01">
        <w:rPr>
          <w:rFonts w:asciiTheme="minorHAnsi" w:hAnsiTheme="minorHAnsi" w:cs="Arial"/>
          <w:sz w:val="24"/>
          <w:szCs w:val="24"/>
        </w:rPr>
        <w:t xml:space="preserve"> realizowana jest przez Operatora Infrastrukturalnego w dniu otrzymania z Systemu PLI CBD komunikatu E14.</w:t>
      </w:r>
    </w:p>
    <w:p w:rsidR="00282586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400"/>
          <w:tab w:val="left" w:pos="9072"/>
        </w:tabs>
        <w:spacing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okresie stabilizacji, Dostawca Usług w komunikacie E14 wskazuję Biorcę (Przedsiębiorcę do którego Numer jest zwracany). W celu weryfikacji prawidłowości wskazania </w:t>
      </w:r>
      <w:r w:rsidRPr="007A156C">
        <w:rPr>
          <w:rFonts w:asciiTheme="minorHAnsi" w:hAnsiTheme="minorHAnsi" w:cs="Arial"/>
          <w:sz w:val="24"/>
          <w:szCs w:val="24"/>
        </w:rPr>
        <w:t>Biorcy</w:t>
      </w:r>
      <w:r>
        <w:rPr>
          <w:rFonts w:asciiTheme="minorHAnsi" w:hAnsiTheme="minorHAnsi" w:cs="Arial"/>
          <w:sz w:val="24"/>
          <w:szCs w:val="24"/>
        </w:rPr>
        <w:t>, System PLI CBD wysyła do Biorcy komunikat E40 Zapytanie o poprawność danych dotyczących zwracaneg</w:t>
      </w:r>
      <w:r w:rsidR="007A3C01">
        <w:rPr>
          <w:rFonts w:asciiTheme="minorHAnsi" w:hAnsiTheme="minorHAnsi" w:cs="Arial"/>
          <w:sz w:val="24"/>
          <w:szCs w:val="24"/>
        </w:rPr>
        <w:t>o Numeru.</w:t>
      </w:r>
    </w:p>
    <w:p w:rsidR="00282586" w:rsidRPr="008E6BC1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400"/>
          <w:tab w:val="left" w:pos="9072"/>
        </w:tabs>
        <w:spacing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F4286">
        <w:rPr>
          <w:rFonts w:asciiTheme="minorHAnsi" w:hAnsiTheme="minorHAnsi" w:cs="Arial"/>
          <w:sz w:val="24"/>
          <w:szCs w:val="24"/>
        </w:rPr>
        <w:t xml:space="preserve">W odpowiedzi,  niezwłocznie, nie później </w:t>
      </w:r>
      <w:r>
        <w:rPr>
          <w:rFonts w:asciiTheme="minorHAnsi" w:hAnsiTheme="minorHAnsi" w:cs="Arial"/>
          <w:sz w:val="24"/>
          <w:szCs w:val="24"/>
        </w:rPr>
        <w:t xml:space="preserve">niż w ciągu 1 godziny, Biorca </w:t>
      </w:r>
      <w:r w:rsidRPr="008E6BC1">
        <w:rPr>
          <w:rFonts w:asciiTheme="minorHAnsi" w:hAnsiTheme="minorHAnsi" w:cs="Arial"/>
          <w:sz w:val="24"/>
          <w:szCs w:val="24"/>
        </w:rPr>
        <w:t xml:space="preserve">odsyła do Systemu PLI CBD komunikat E41 Odpowiedź o danych dotyczących zwracanego Numeru </w:t>
      </w:r>
      <w:r w:rsidR="007A3C01">
        <w:rPr>
          <w:rFonts w:asciiTheme="minorHAnsi" w:hAnsiTheme="minorHAnsi" w:cs="Arial"/>
          <w:sz w:val="24"/>
          <w:szCs w:val="24"/>
        </w:rPr>
        <w:t xml:space="preserve">, </w:t>
      </w:r>
      <w:r w:rsidRPr="008E6BC1">
        <w:rPr>
          <w:rFonts w:asciiTheme="minorHAnsi" w:hAnsiTheme="minorHAnsi" w:cs="Arial"/>
          <w:sz w:val="24"/>
          <w:szCs w:val="24"/>
        </w:rPr>
        <w:t>gdzie potwierdza bądź odrzuca dane.</w:t>
      </w:r>
    </w:p>
    <w:p w:rsidR="00282586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przypadku odrzucenia danych przez Biorcę, System PLI CBD odsyła do Dostawcy Usług komunikat E16 z odpowiednim kodem</w:t>
      </w:r>
    </w:p>
    <w:p w:rsidR="00282586" w:rsidRPr="008E6BC1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 pozytywnym potwierdzeniu 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943634"/>
          <w:sz w:val="24"/>
          <w:szCs w:val="24"/>
        </w:rPr>
        <w:t xml:space="preserve">komunikatem E41 przez Biorcę poprawności określonych przez Dostawcę Usług w 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>komunika</w:t>
      </w:r>
      <w:r>
        <w:rPr>
          <w:rFonts w:asciiTheme="minorHAnsi" w:hAnsiTheme="minorHAnsi"/>
          <w:bCs/>
          <w:color w:val="943634"/>
          <w:sz w:val="24"/>
          <w:szCs w:val="24"/>
        </w:rPr>
        <w:t>cie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 xml:space="preserve"> E1</w:t>
      </w:r>
      <w:r>
        <w:rPr>
          <w:rFonts w:asciiTheme="minorHAnsi" w:hAnsiTheme="minorHAnsi"/>
          <w:bCs/>
          <w:color w:val="943634"/>
          <w:sz w:val="24"/>
          <w:szCs w:val="24"/>
        </w:rPr>
        <w:t xml:space="preserve">4 danych, 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 xml:space="preserve">System </w:t>
      </w:r>
      <w:r w:rsidRPr="00FB3C74">
        <w:rPr>
          <w:rFonts w:asciiTheme="minorHAnsi" w:hAnsiTheme="minorHAnsi"/>
          <w:bCs/>
          <w:color w:val="943634"/>
          <w:sz w:val="24"/>
          <w:szCs w:val="24"/>
        </w:rPr>
        <w:t>P</w:t>
      </w:r>
      <w:r w:rsidRPr="001D05B5">
        <w:rPr>
          <w:rFonts w:asciiTheme="minorHAnsi" w:hAnsiTheme="minorHAnsi"/>
          <w:bCs/>
          <w:color w:val="943634"/>
          <w:sz w:val="24"/>
          <w:szCs w:val="24"/>
        </w:rPr>
        <w:t xml:space="preserve">LI CBD </w:t>
      </w:r>
      <w:r>
        <w:rPr>
          <w:rFonts w:asciiTheme="minorHAnsi" w:hAnsiTheme="minorHAnsi"/>
          <w:bCs/>
          <w:color w:val="943634"/>
          <w:sz w:val="24"/>
          <w:szCs w:val="24"/>
        </w:rPr>
        <w:t>wysyła komunikat E14 do wszystkich Przedsiębiorców Telekomunikacyjnych oraz do Operatora Infrastrukturalnego</w:t>
      </w:r>
      <w:r w:rsidR="007A3C01">
        <w:rPr>
          <w:rFonts w:asciiTheme="minorHAnsi" w:hAnsiTheme="minorHAnsi"/>
          <w:bCs/>
          <w:color w:val="943634"/>
          <w:sz w:val="24"/>
          <w:szCs w:val="24"/>
        </w:rPr>
        <w:t>, który dezaktywuje Usługę Hurtową powiązana ze zwracanym Numerem.</w:t>
      </w:r>
    </w:p>
    <w:p w:rsidR="00FF4286" w:rsidRPr="007A3C01" w:rsidRDefault="00282586" w:rsidP="004C0824">
      <w:pPr>
        <w:pStyle w:val="HTML-wstpniesformatowany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Jednocześnie </w:t>
      </w:r>
      <w:r w:rsidRPr="001D05B5">
        <w:rPr>
          <w:rFonts w:asciiTheme="minorHAnsi" w:hAnsiTheme="minorHAnsi"/>
          <w:bCs/>
          <w:color w:val="943634"/>
          <w:sz w:val="24"/>
          <w:szCs w:val="24"/>
        </w:rPr>
        <w:t xml:space="preserve">Numer zwracany </w:t>
      </w:r>
      <w:r w:rsidRPr="00C76EC4">
        <w:rPr>
          <w:rFonts w:asciiTheme="minorHAnsi" w:hAnsiTheme="minorHAnsi"/>
          <w:bCs/>
          <w:color w:val="943634"/>
          <w:sz w:val="24"/>
          <w:szCs w:val="24"/>
        </w:rPr>
        <w:t>jest do Przedsiębiorcy Telekomunikacyjnego, który ma ten Numer przydzielony przez UKE, lub który ma prawo do dysponowania Numerem na potrzeby świadczenia usług   na podstawie umowy o udostępnieniu numeracji, na podstawie art. 128 Pt</w:t>
      </w:r>
    </w:p>
    <w:p w:rsidR="00E65248" w:rsidRPr="005F64A0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1068"/>
        <w:jc w:val="both"/>
        <w:rPr>
          <w:rFonts w:asciiTheme="minorHAnsi" w:hAnsiTheme="minorHAnsi"/>
          <w:bCs/>
          <w:color w:val="943634"/>
          <w:sz w:val="24"/>
          <w:szCs w:val="24"/>
        </w:rPr>
      </w:pPr>
    </w:p>
    <w:p w:rsidR="00E65248" w:rsidRPr="005F64A0" w:rsidRDefault="00E65248" w:rsidP="00A02B3C">
      <w:pPr>
        <w:pStyle w:val="Nagwek2"/>
        <w:rPr>
          <w:rFonts w:asciiTheme="minorHAnsi" w:hAnsiTheme="minorHAnsi"/>
          <w:b/>
          <w:lang w:val="pl-PL"/>
        </w:rPr>
      </w:pPr>
      <w:bookmarkStart w:id="9" w:name="_Toc410210698"/>
      <w:r w:rsidRPr="005F64A0">
        <w:rPr>
          <w:rFonts w:asciiTheme="minorHAnsi" w:hAnsiTheme="minorHAnsi"/>
          <w:b/>
          <w:lang w:val="pl-PL"/>
        </w:rPr>
        <w:t xml:space="preserve">Proces realizacji Przeniesienia Numeru w powiązaniu z Usługą Hurtową </w:t>
      </w:r>
      <w:r w:rsidR="00D070D4" w:rsidRPr="005F64A0">
        <w:rPr>
          <w:rFonts w:asciiTheme="minorHAnsi" w:hAnsiTheme="minorHAnsi"/>
          <w:b/>
          <w:lang w:val="pl-PL"/>
        </w:rPr>
        <w:t>p</w:t>
      </w:r>
      <w:r w:rsidRPr="005F64A0">
        <w:rPr>
          <w:rFonts w:asciiTheme="minorHAnsi" w:hAnsiTheme="minorHAnsi"/>
          <w:b/>
          <w:lang w:val="pl-PL"/>
        </w:rPr>
        <w:t>o stronie Biorcy w okresie przejściowym</w:t>
      </w:r>
      <w:bookmarkEnd w:id="9"/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Biorca realizujący Przeniesienie Numeru w powiązaniu z Usługami Hurtowymi, w pierwszej kolejności zobowiązany jest zainicjować komunikat E03 w Systemie PLI </w:t>
      </w:r>
      <w:r w:rsidRPr="00AC25D7">
        <w:rPr>
          <w:rFonts w:asciiTheme="minorHAnsi" w:hAnsiTheme="minorHAnsi" w:cs="Arial"/>
          <w:sz w:val="24"/>
          <w:szCs w:val="24"/>
        </w:rPr>
        <w:lastRenderedPageBreak/>
        <w:t xml:space="preserve">CBD, podając m.in.: Identyfikator Operatora Infrastrukturalnego, rodzaj zamawianej Usługi Hurtowej ( WLR/LLU) i Numer </w:t>
      </w:r>
      <w:proofErr w:type="spellStart"/>
      <w:r w:rsidRPr="00AC25D7">
        <w:rPr>
          <w:rFonts w:asciiTheme="minorHAnsi" w:hAnsiTheme="minorHAnsi" w:cs="Arial"/>
          <w:sz w:val="24"/>
          <w:szCs w:val="24"/>
        </w:rPr>
        <w:t>Rutingowy</w:t>
      </w:r>
      <w:proofErr w:type="spellEnd"/>
      <w:r w:rsidRPr="00AC25D7">
        <w:rPr>
          <w:rFonts w:asciiTheme="minorHAnsi" w:hAnsiTheme="minorHAnsi" w:cs="Arial"/>
          <w:sz w:val="24"/>
          <w:szCs w:val="24"/>
        </w:rPr>
        <w:t xml:space="preserve"> (opcjonalnie</w:t>
      </w:r>
      <w:r w:rsidRPr="00AC25D7">
        <w:rPr>
          <w:rStyle w:val="Odwoanieprzypisudolnego"/>
          <w:rFonts w:asciiTheme="minorHAnsi" w:hAnsiTheme="minorHAnsi" w:cs="Arial"/>
          <w:sz w:val="24"/>
          <w:szCs w:val="24"/>
        </w:rPr>
        <w:footnoteReference w:id="2"/>
      </w:r>
      <w:r w:rsidRPr="00AC25D7">
        <w:rPr>
          <w:rFonts w:asciiTheme="minorHAnsi" w:hAnsiTheme="minorHAnsi" w:cs="Arial"/>
          <w:sz w:val="24"/>
          <w:szCs w:val="24"/>
        </w:rPr>
        <w:t>)</w:t>
      </w:r>
      <w:r w:rsidR="00363581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Biorca, po otrzymaniu z Systemu PLI CBD komunikatu E06 z potwierdzoną przez Dawcę Planowaną Datą Przeniesienia Numeru, w następnej kolejności składa zamówienie na Usługę Hurtową u Operatora Infrastrukturalnego. Proces zamówieni</w:t>
      </w:r>
      <w:r w:rsidR="00D070D4" w:rsidRPr="00AC25D7">
        <w:rPr>
          <w:rFonts w:asciiTheme="minorHAnsi" w:hAnsiTheme="minorHAnsi" w:cs="Arial"/>
          <w:sz w:val="24"/>
          <w:szCs w:val="24"/>
        </w:rPr>
        <w:t>a</w:t>
      </w:r>
      <w:r w:rsidRPr="00AC25D7">
        <w:rPr>
          <w:rFonts w:asciiTheme="minorHAnsi" w:hAnsiTheme="minorHAnsi" w:cs="Arial"/>
          <w:sz w:val="24"/>
          <w:szCs w:val="24"/>
        </w:rPr>
        <w:t xml:space="preserve"> na Usługę Hurtową realizowany jest zgodnie z zapisami Umowy zawartej z Operatorem Infrastrukturalnym.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Biorca, po otrzymaniu komunikatu o </w:t>
      </w:r>
      <w:r w:rsidR="00363581" w:rsidRPr="00AC25D7">
        <w:rPr>
          <w:rFonts w:asciiTheme="minorHAnsi" w:hAnsiTheme="minorHAnsi" w:cs="Arial"/>
          <w:sz w:val="24"/>
          <w:szCs w:val="24"/>
        </w:rPr>
        <w:t>P</w:t>
      </w:r>
      <w:r w:rsidRPr="00AC25D7">
        <w:rPr>
          <w:rFonts w:asciiTheme="minorHAnsi" w:hAnsiTheme="minorHAnsi" w:cs="Arial"/>
          <w:sz w:val="24"/>
          <w:szCs w:val="24"/>
        </w:rPr>
        <w:t xml:space="preserve">ozytywnej </w:t>
      </w:r>
      <w:r w:rsidR="00363581" w:rsidRPr="00AC25D7">
        <w:rPr>
          <w:rFonts w:asciiTheme="minorHAnsi" w:hAnsiTheme="minorHAnsi" w:cs="Arial"/>
          <w:sz w:val="24"/>
          <w:szCs w:val="24"/>
        </w:rPr>
        <w:t>R</w:t>
      </w:r>
      <w:r w:rsidRPr="00AC25D7">
        <w:rPr>
          <w:rFonts w:asciiTheme="minorHAnsi" w:hAnsiTheme="minorHAnsi" w:cs="Arial"/>
          <w:sz w:val="24"/>
          <w:szCs w:val="24"/>
        </w:rPr>
        <w:t xml:space="preserve">ealizacji </w:t>
      </w:r>
      <w:r w:rsidR="00363581" w:rsidRPr="00AC25D7">
        <w:rPr>
          <w:rFonts w:asciiTheme="minorHAnsi" w:hAnsiTheme="minorHAnsi" w:cs="Arial"/>
          <w:sz w:val="24"/>
          <w:szCs w:val="24"/>
        </w:rPr>
        <w:t>T</w:t>
      </w:r>
      <w:r w:rsidRPr="00AC25D7">
        <w:rPr>
          <w:rFonts w:asciiTheme="minorHAnsi" w:hAnsiTheme="minorHAnsi" w:cs="Arial"/>
          <w:sz w:val="24"/>
          <w:szCs w:val="24"/>
        </w:rPr>
        <w:t xml:space="preserve">echnicznej zamówienia na Usługę Hurtową od Operatora Infrastrukturalnego, niezwłocznie, nie później niż w ciągu </w:t>
      </w:r>
      <w:r w:rsidR="00435A2E">
        <w:rPr>
          <w:rFonts w:asciiTheme="minorHAnsi" w:hAnsiTheme="minorHAnsi" w:cs="Arial"/>
          <w:sz w:val="24"/>
          <w:szCs w:val="24"/>
        </w:rPr>
        <w:t>2</w:t>
      </w:r>
      <w:r w:rsidRPr="00AC25D7">
        <w:rPr>
          <w:rFonts w:asciiTheme="minorHAnsi" w:hAnsiTheme="minorHAnsi" w:cs="Arial"/>
          <w:sz w:val="24"/>
          <w:szCs w:val="24"/>
        </w:rPr>
        <w:t xml:space="preserve"> godzin, wysyła do Systemu PLI CBD komunikat E12, wskazując datę realizacji Przeniesienia Numeru w </w:t>
      </w:r>
      <w:r w:rsidR="00363581" w:rsidRPr="00AC25D7">
        <w:rPr>
          <w:rFonts w:asciiTheme="minorHAnsi" w:hAnsiTheme="minorHAnsi" w:cs="Arial"/>
          <w:sz w:val="24"/>
          <w:szCs w:val="24"/>
        </w:rPr>
        <w:t>p</w:t>
      </w:r>
      <w:r w:rsidRPr="00AC25D7">
        <w:rPr>
          <w:rFonts w:asciiTheme="minorHAnsi" w:hAnsiTheme="minorHAnsi" w:cs="Arial"/>
          <w:sz w:val="24"/>
          <w:szCs w:val="24"/>
        </w:rPr>
        <w:t>owiązaniu z Usługą Hurtową</w:t>
      </w:r>
      <w:r w:rsidR="00363581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System PLI CBD, po weryfikacji</w:t>
      </w:r>
      <w:r w:rsidR="00363581" w:rsidRPr="00AC25D7">
        <w:rPr>
          <w:rFonts w:asciiTheme="minorHAnsi" w:hAnsiTheme="minorHAnsi" w:cs="Arial"/>
          <w:sz w:val="24"/>
          <w:szCs w:val="24"/>
        </w:rPr>
        <w:t xml:space="preserve"> komunikatu E12</w:t>
      </w:r>
      <w:r w:rsidRPr="00AC25D7">
        <w:rPr>
          <w:rFonts w:asciiTheme="minorHAnsi" w:hAnsiTheme="minorHAnsi" w:cs="Arial"/>
          <w:sz w:val="24"/>
          <w:szCs w:val="24"/>
        </w:rPr>
        <w:t xml:space="preserve">, przekazuje </w:t>
      </w:r>
      <w:r w:rsidR="00363581" w:rsidRPr="00AC25D7">
        <w:rPr>
          <w:rFonts w:asciiTheme="minorHAnsi" w:hAnsiTheme="minorHAnsi" w:cs="Arial"/>
          <w:sz w:val="24"/>
          <w:szCs w:val="24"/>
        </w:rPr>
        <w:t>go</w:t>
      </w:r>
      <w:r w:rsidRPr="00AC25D7">
        <w:rPr>
          <w:rFonts w:asciiTheme="minorHAnsi" w:hAnsiTheme="minorHAnsi" w:cs="Arial"/>
          <w:sz w:val="24"/>
          <w:szCs w:val="24"/>
        </w:rPr>
        <w:t xml:space="preserve"> do Dawcy, który niezwłocznie, najpóźniej w ciągu </w:t>
      </w:r>
      <w:r w:rsidR="00435A2E">
        <w:rPr>
          <w:rFonts w:asciiTheme="minorHAnsi" w:hAnsiTheme="minorHAnsi" w:cs="Arial"/>
          <w:sz w:val="24"/>
          <w:szCs w:val="24"/>
        </w:rPr>
        <w:t xml:space="preserve">2 </w:t>
      </w:r>
      <w:r w:rsidRPr="00AC25D7">
        <w:rPr>
          <w:rFonts w:asciiTheme="minorHAnsi" w:hAnsiTheme="minorHAnsi" w:cs="Arial"/>
          <w:sz w:val="24"/>
          <w:szCs w:val="24"/>
        </w:rPr>
        <w:t>godzin, przekazuje komunikat E13 do Systemu PLI CBD</w:t>
      </w:r>
      <w:r w:rsidR="00363581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System PLI CBD, po weryfikacji, wysyła komunikat E13, do </w:t>
      </w:r>
      <w:r w:rsidR="00363581" w:rsidRPr="00AC25D7">
        <w:rPr>
          <w:rFonts w:asciiTheme="minorHAnsi" w:hAnsiTheme="minorHAnsi" w:cs="Arial"/>
          <w:sz w:val="24"/>
          <w:szCs w:val="24"/>
        </w:rPr>
        <w:t xml:space="preserve">wszystkich </w:t>
      </w:r>
      <w:r w:rsidRPr="00AC25D7">
        <w:rPr>
          <w:rFonts w:asciiTheme="minorHAnsi" w:hAnsiTheme="minorHAnsi" w:cs="Arial"/>
          <w:sz w:val="24"/>
          <w:szCs w:val="24"/>
        </w:rPr>
        <w:t>Przedsiębiorców Telekomunikacyjnych, w tym Dawcy, Biorcy i Operatora Macierzystego</w:t>
      </w:r>
      <w:r w:rsidR="00363581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Data realizacji Usługi Hurtowej przez Operatora Infrastrukturalnego nie może być </w:t>
      </w:r>
      <w:r w:rsidR="00363581" w:rsidRPr="00AC25D7">
        <w:rPr>
          <w:rFonts w:asciiTheme="minorHAnsi" w:hAnsiTheme="minorHAnsi" w:cs="Arial"/>
          <w:sz w:val="24"/>
          <w:szCs w:val="24"/>
        </w:rPr>
        <w:t xml:space="preserve">wcześniejsza niż termin podany Biorcy w komunikacie E06 i nie </w:t>
      </w:r>
      <w:r w:rsidRPr="00AC25D7">
        <w:rPr>
          <w:rFonts w:asciiTheme="minorHAnsi" w:hAnsiTheme="minorHAnsi" w:cs="Arial"/>
          <w:sz w:val="24"/>
          <w:szCs w:val="24"/>
        </w:rPr>
        <w:t>późniejsza niż termin ważności Sprawy NP w Systemie PLI CBD</w:t>
      </w:r>
      <w:r w:rsidR="00363581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Biorca, w przypadku otrzymania od Operatora Infrastrukturalnego informacji o negatywnej weryfikacji formalnej, negatywnej weryfikacji technicznej bądź negatywnej realizacji technicznej, a także w przypadku anulowania zamówienia na Usługę Hurtową, zobowiązany jest do przerwania komunikatem E18 procesu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 niezwłocznie, nie później niż w ciągu 1DR od uzyskania informacji.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Biorca, w </w:t>
      </w:r>
      <w:r w:rsidR="003362AA" w:rsidRPr="00AC25D7">
        <w:rPr>
          <w:rFonts w:asciiTheme="minorHAnsi" w:hAnsiTheme="minorHAnsi" w:cs="Arial"/>
          <w:sz w:val="24"/>
          <w:szCs w:val="24"/>
        </w:rPr>
        <w:t>przypadku przerwania procesu 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przez Dawcę, zobowiązany jest niezwłocznie, najpóźniej w ciągu 1 DR, anulować zamówienie na Usługę Hurtową u Operatora Infrastrukturalnego</w:t>
      </w:r>
      <w:r w:rsidR="00363581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Nie będzi</w:t>
      </w:r>
      <w:r w:rsidR="003362AA" w:rsidRPr="00AC25D7">
        <w:rPr>
          <w:rFonts w:asciiTheme="minorHAnsi" w:hAnsiTheme="minorHAnsi" w:cs="Arial"/>
          <w:sz w:val="24"/>
          <w:szCs w:val="24"/>
        </w:rPr>
        <w:t>e możliwe przerwanie procesu 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przez Biorcę komunikatem E18 lub Dawcę komunikatem E17, jeżeli do Umownej Daty Przeniesienia Numeru wskazanej w komunikacie E06 zostanie mniej niż 5DR, za wyjątkiem możliwości przerwania procesu NP przez Biorcę w przypadku negatywnej realizacji technicznej.</w:t>
      </w:r>
    </w:p>
    <w:p w:rsidR="002220F4" w:rsidRPr="00AC25D7" w:rsidRDefault="002220F4" w:rsidP="007C37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4C0824" w:rsidRDefault="004C0824" w:rsidP="007C37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4C0824" w:rsidRDefault="004C0824" w:rsidP="007C37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7C37F6" w:rsidRPr="00AC25D7" w:rsidRDefault="007C37F6" w:rsidP="007C37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lastRenderedPageBreak/>
        <w:t>Zakładana w zmianach do SOR, komunikacja pomiędzy Systemem PLI CBD a Operatorem Infrastrukturalnym dla komunikatów: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E07 – odpytanie przez OI o status Przeniesienia Numeru w Systemie PLICBD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E08 – przekazanie do OI statusu Przeniesienia Numeru przez System PLICBD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E09 – potwierdzenie przez OI daty realizacji zamówienia na Usługę Regulowaną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E10 – potwierdzenie przez OI pozytywnej lub negatywnej realizacji technicznej zamówienia 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E16 – anulowanie procesu przeniesienia Numeru Przydzielonego przez System PLI CBD/odrzucenie komunikatu przez System PLI CBD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E17 – anulowanie procesu przeniesienia Numeru Przydzielonego przez Dawcę </w:t>
      </w:r>
    </w:p>
    <w:p w:rsidR="007C37F6" w:rsidRPr="00AC25D7" w:rsidRDefault="007C37F6" w:rsidP="004C0824">
      <w:pPr>
        <w:pStyle w:val="Lista2"/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E18 – anulowanie procesu przeniesienia Numeru Przydzielonego przez Biorcę</w:t>
      </w:r>
    </w:p>
    <w:p w:rsidR="007C37F6" w:rsidRPr="00AC25D7" w:rsidRDefault="007C37F6" w:rsidP="007C37F6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okresie przejściowym nie jest fizycznie realizowana. </w:t>
      </w:r>
    </w:p>
    <w:p w:rsidR="007C37F6" w:rsidRPr="00AC25D7" w:rsidRDefault="007C37F6" w:rsidP="007C37F6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C37F6" w:rsidRDefault="007C37F6" w:rsidP="007C37F6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System PLI CBD w procesie NP, po komunikacie E06 na potrzeby weryfikacji komunikatu E12, przyjmuje, że komunikaty E07, E08, E09 i E10 były pozytywne.</w:t>
      </w:r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5F64A0" w:rsidRDefault="00E65248" w:rsidP="00A02B3C">
      <w:pPr>
        <w:pStyle w:val="Nagwek2"/>
        <w:rPr>
          <w:rFonts w:asciiTheme="minorHAnsi" w:hAnsiTheme="minorHAnsi"/>
          <w:b/>
          <w:lang w:val="pl-PL"/>
        </w:rPr>
      </w:pPr>
      <w:bookmarkStart w:id="10" w:name="_Toc410210699"/>
      <w:r w:rsidRPr="005F64A0">
        <w:rPr>
          <w:rFonts w:asciiTheme="minorHAnsi" w:hAnsiTheme="minorHAnsi"/>
          <w:b/>
          <w:lang w:val="pl-PL"/>
        </w:rPr>
        <w:t>Proces zamówienia Usługi Hurtowej na Łączu Abonenckim Nieaktywnym w okresie przejściowym</w:t>
      </w:r>
      <w:bookmarkEnd w:id="10"/>
    </w:p>
    <w:p w:rsidR="00E65248" w:rsidRPr="00AC25D7" w:rsidRDefault="00E65248" w:rsidP="00A02B3C">
      <w:pPr>
        <w:pStyle w:val="HTML-wstpniesformatowany"/>
        <w:keepNext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AC25D7" w:rsidRDefault="00E65248" w:rsidP="004C08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W przypadku realizacji przez Przedsiębiorcę Telekomunikacyjnego zamówienia na Usługę Hurtową na Łączu Abonenckim Nieaktywnym:</w:t>
      </w:r>
    </w:p>
    <w:p w:rsidR="00E65248" w:rsidRPr="00AC25D7" w:rsidRDefault="00E65248" w:rsidP="004C0824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Przedsiębiorca Telekomunikacyjny (Biorca) w pierwszej kolejności inicjuje komunikat E29 w Systemu PLI CBD, wskazując rodzaj Usługi Hurtowej  i datę  realizacji Usługi Hurtowej na Łączu Abonenckim Nieaktywnym u Operatora Infrastrukturalnego. Sprawa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jest ważna 120 dni od daty zainicjowania komunikatu E29</w:t>
      </w:r>
      <w:r w:rsidR="002B5EF5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W następnej kolejności Przedsiębiorca Telekomunikacyjny (Biorca), składa zamówienie na Usługę Hurtową na Łączu Abonenckim Nieaktywnym, realizując proces zgodnie z zapisami Umowy zawartej z Operatorem Infrastrukturalnym.</w:t>
      </w:r>
    </w:p>
    <w:p w:rsidR="00E65248" w:rsidRPr="00AC25D7" w:rsidRDefault="00E65248" w:rsidP="004C0824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Biorca, po otrzymaniu komunikatu o pozytywnej realizacji technicznej zamówienia na Usługę Hurtową na Łączu Abonenckim Nieaktywnym od Operatora Infrastrukturalnego, niezwłocznie, nie później niż w ciągu </w:t>
      </w:r>
      <w:r w:rsidR="00435A2E">
        <w:rPr>
          <w:rFonts w:asciiTheme="minorHAnsi" w:hAnsiTheme="minorHAnsi" w:cs="Arial"/>
          <w:sz w:val="24"/>
          <w:szCs w:val="24"/>
        </w:rPr>
        <w:t>2</w:t>
      </w:r>
      <w:r w:rsidRPr="00AC25D7">
        <w:rPr>
          <w:rFonts w:asciiTheme="minorHAnsi" w:hAnsiTheme="minorHAnsi" w:cs="Arial"/>
          <w:sz w:val="24"/>
          <w:szCs w:val="24"/>
        </w:rPr>
        <w:t xml:space="preserve"> godzin, wysyła do Systemu PLI CBD komunikat E30, wskazując m.in. datę realizacji Usługi Hurtowej na Łączu Abonenckim Nieaktywnym wraz z Przydzielonym Numerem/zakresem Numerów oraz Numer </w:t>
      </w:r>
      <w:proofErr w:type="spellStart"/>
      <w:r w:rsidRPr="00AC25D7">
        <w:rPr>
          <w:rFonts w:asciiTheme="minorHAnsi" w:hAnsiTheme="minorHAnsi" w:cs="Arial"/>
          <w:sz w:val="24"/>
          <w:szCs w:val="24"/>
        </w:rPr>
        <w:t>Rutingowy</w:t>
      </w:r>
      <w:proofErr w:type="spellEnd"/>
      <w:r w:rsidRPr="00AC25D7">
        <w:rPr>
          <w:rFonts w:asciiTheme="minorHAnsi" w:hAnsiTheme="minorHAnsi" w:cs="Arial"/>
          <w:sz w:val="24"/>
          <w:szCs w:val="24"/>
        </w:rPr>
        <w:t xml:space="preserve"> (opcjonalnie</w:t>
      </w:r>
      <w:r w:rsidRPr="00AC25D7">
        <w:rPr>
          <w:rStyle w:val="Odwoanieprzypisudolnego"/>
          <w:rFonts w:asciiTheme="minorHAnsi" w:hAnsiTheme="minorHAnsi" w:cs="Arial"/>
          <w:sz w:val="24"/>
          <w:szCs w:val="24"/>
        </w:rPr>
        <w:footnoteReference w:id="3"/>
      </w:r>
      <w:r w:rsidRPr="00AC25D7">
        <w:rPr>
          <w:rFonts w:asciiTheme="minorHAnsi" w:hAnsiTheme="minorHAnsi" w:cs="Arial"/>
          <w:sz w:val="24"/>
          <w:szCs w:val="24"/>
        </w:rPr>
        <w:t>)</w:t>
      </w:r>
      <w:r w:rsidR="002B5EF5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lastRenderedPageBreak/>
        <w:t>System PLI CBD, po weryfikacji komunikatu E30 otrzymanego od Biorcy, wysyła komunikat E13, do Przedsiębiorców Telekomunikacyjnych, w tym Biorcy i Operatora Macierzystego</w:t>
      </w:r>
      <w:r w:rsidR="002B5EF5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Data technicznej realizacji Usługi Hurtowej na Łączu Abonenckim Nieaktywnym przez Operatora Infrastrukturalnego nie może być późniejsza niż termin ważności Sprawy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</w:t>
      </w:r>
      <w:r w:rsidR="002B5EF5" w:rsidRPr="00AC25D7">
        <w:rPr>
          <w:rFonts w:asciiTheme="minorHAnsi" w:hAnsiTheme="minorHAnsi" w:cs="Arial"/>
          <w:sz w:val="24"/>
          <w:szCs w:val="24"/>
        </w:rPr>
        <w:t>.</w:t>
      </w:r>
    </w:p>
    <w:p w:rsidR="00E65248" w:rsidRPr="00AC25D7" w:rsidRDefault="00E65248" w:rsidP="004C0824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Biorca, w przypadku otrzymania od Operatora Infrastrukturalnego informacji o negatywnej weryfikacji formalnej, negatywnej weryfikacji technicznej bądź negatywnej realizacji technicznej, a także w przypadku anulowania zamówienia na Usługę Hurtową na Łączu Abonenckim Nieaktywnym, zobowiązany jest do przerwania komunikatem E18 procesu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 niezwłocznie, nie później niż w ciągu 1DR od uzyskania informacji.</w:t>
      </w:r>
    </w:p>
    <w:p w:rsidR="002220F4" w:rsidRPr="00AC25D7" w:rsidRDefault="002220F4" w:rsidP="00C0347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F51DB3" w:rsidRPr="00AC25D7" w:rsidRDefault="00F51DB3" w:rsidP="00C0347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Zakładana w zmianach do SOR, komunikacja pomiędzy Systemem PLI CBD a Operatorem Infrastrukturalnym dla komunikatu</w:t>
      </w:r>
    </w:p>
    <w:p w:rsidR="00F51DB3" w:rsidRPr="00AC25D7" w:rsidRDefault="00F51DB3" w:rsidP="004C0824">
      <w:pPr>
        <w:pStyle w:val="Lista2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E11 – potwierdzenie przez OI pozytywnej realizacji technicznej dla ŁAN, zmiany numeru, dodania zakresu DDI/numerów MSN</w:t>
      </w:r>
    </w:p>
    <w:p w:rsidR="00F51DB3" w:rsidRPr="00AC25D7" w:rsidRDefault="00F51DB3" w:rsidP="00F51DB3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okresie przejściowym nie jest fizycznie realizowana. </w:t>
      </w:r>
    </w:p>
    <w:p w:rsidR="00F51DB3" w:rsidRPr="00AC25D7" w:rsidRDefault="00F51DB3" w:rsidP="00F51DB3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65248" w:rsidRPr="00AC25D7" w:rsidRDefault="00F51DB3" w:rsidP="00F51DB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System PLI CBD w procesie NP. w Usłudze Hurtowej na Łączu Nieaktywnym, na potrzeby weryfikacji komunikatu E30, przyjmuje, że komunikat E11 był pozytywny</w:t>
      </w:r>
      <w:r w:rsidR="002220F4" w:rsidRPr="00AC25D7">
        <w:rPr>
          <w:rFonts w:asciiTheme="minorHAnsi" w:hAnsiTheme="minorHAnsi"/>
          <w:sz w:val="24"/>
          <w:szCs w:val="24"/>
        </w:rPr>
        <w:t>.</w:t>
      </w:r>
    </w:p>
    <w:p w:rsidR="002220F4" w:rsidRPr="005F64A0" w:rsidRDefault="002220F4" w:rsidP="00F51DB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5F64A0" w:rsidRDefault="00E65248" w:rsidP="00A02B3C">
      <w:pPr>
        <w:pStyle w:val="Nagwek2"/>
        <w:rPr>
          <w:rFonts w:asciiTheme="minorHAnsi" w:hAnsiTheme="minorHAnsi"/>
          <w:b/>
          <w:lang w:val="pl-PL"/>
        </w:rPr>
      </w:pPr>
      <w:bookmarkStart w:id="11" w:name="_Toc410210700"/>
      <w:r w:rsidRPr="005F64A0">
        <w:rPr>
          <w:rFonts w:asciiTheme="minorHAnsi" w:hAnsiTheme="minorHAnsi"/>
          <w:b/>
          <w:lang w:val="pl-PL"/>
        </w:rPr>
        <w:t>Proces modyfikacji Usługi Hurtowej WLR  w okresie przejściowym</w:t>
      </w:r>
      <w:bookmarkEnd w:id="11"/>
    </w:p>
    <w:p w:rsidR="003362AA" w:rsidRPr="00AC25D7" w:rsidRDefault="003362AA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W przypadku realizacji przez Dostawcę Usług zamówienia modyfikacji w Usłudze Hurtowej WLR:</w:t>
      </w:r>
    </w:p>
    <w:p w:rsidR="00E65248" w:rsidRPr="00AC25D7" w:rsidRDefault="00E65248" w:rsidP="004C0824">
      <w:pPr>
        <w:pStyle w:val="HTML-wstpniesformatowany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zmiany Numeru/zakresu Numerów</w:t>
      </w:r>
    </w:p>
    <w:p w:rsidR="00E65248" w:rsidRPr="00AC25D7" w:rsidRDefault="00E65248" w:rsidP="004C0824">
      <w:pPr>
        <w:pStyle w:val="HTML-wstpniesformatowany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zmiany lokalizacji ze zmianą Numeru/zakresu Numerów</w:t>
      </w:r>
    </w:p>
    <w:p w:rsidR="00E65248" w:rsidRPr="00AC25D7" w:rsidRDefault="00E65248" w:rsidP="004C0824">
      <w:pPr>
        <w:pStyle w:val="HTML-wstpniesformatowany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dodania zakresu DDI/Numerów MSN</w:t>
      </w:r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skutkujących zmianą Dostawcy Usług dla danej (przydzielanej na czas świadczenia Usługi Hurtowej) numeracji przydzielonej decyzją Prezesa UKE  lub udostępnionej w trybie art. 128 Pt, Przedsiębiorcy Telekomunikacyjnemu, wymagana jest komunikacja w Systemie PLI CBD:</w:t>
      </w:r>
    </w:p>
    <w:p w:rsidR="00E65248" w:rsidRPr="00AC25D7" w:rsidRDefault="00E65248" w:rsidP="004C0824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Dostawca Usług, przed złożeniem zamówienia  do Operatora Infrastrukturalnego, w pierwszej kolejności inicjuje komunikat E31 do Systemu PLI CBD. Sprawa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jest ważna 120 dni od daty zainicjowania komunikatu E31.</w:t>
      </w:r>
    </w:p>
    <w:p w:rsidR="00E65248" w:rsidRPr="00AC25D7" w:rsidRDefault="00E65248" w:rsidP="004C0824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lastRenderedPageBreak/>
        <w:t xml:space="preserve">w następnej kolejności Dostawca Usług, składa stosowne zamówienie u Operatora Infrastrukturalnego, realizując proces zgodnie z zapisami Umowy zawartej z Operatorem Infrastrukturalnym. </w:t>
      </w:r>
    </w:p>
    <w:p w:rsidR="00E65248" w:rsidRPr="00AC25D7" w:rsidRDefault="00E65248" w:rsidP="004C0824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po otrzymaniu komunikatu o pozytywnej realizacji technicznej zamówienia modyfikacji od Operatora Infrastrukturalnego, Dostawca Usług niezwłocznie, nie później niż w ciągu </w:t>
      </w:r>
      <w:r w:rsidR="00435A2E">
        <w:rPr>
          <w:rFonts w:asciiTheme="minorHAnsi" w:hAnsiTheme="minorHAnsi" w:cs="Arial"/>
          <w:sz w:val="24"/>
          <w:szCs w:val="24"/>
        </w:rPr>
        <w:t>2</w:t>
      </w:r>
      <w:r w:rsidRPr="00AC25D7">
        <w:rPr>
          <w:rFonts w:asciiTheme="minorHAnsi" w:hAnsiTheme="minorHAnsi" w:cs="Arial"/>
          <w:sz w:val="24"/>
          <w:szCs w:val="24"/>
        </w:rPr>
        <w:t xml:space="preserve"> godzin, wysyła do Systemu PLI CBD komunikat E32 przy zmianie numeru lub E33 przy dodaniu zakresu DDI/Numerów MSN, wskazując datę realizacji modyfikacji Usługi Hurtowej wraz z Przydzielonym/zmienionym Numerem/zakresem Numerów oraz Numer </w:t>
      </w:r>
      <w:proofErr w:type="spellStart"/>
      <w:r w:rsidRPr="00AC25D7">
        <w:rPr>
          <w:rFonts w:asciiTheme="minorHAnsi" w:hAnsiTheme="minorHAnsi" w:cs="Arial"/>
          <w:sz w:val="24"/>
          <w:szCs w:val="24"/>
        </w:rPr>
        <w:t>Rutingowy</w:t>
      </w:r>
      <w:proofErr w:type="spellEnd"/>
      <w:r w:rsidRPr="00AC25D7">
        <w:rPr>
          <w:rFonts w:asciiTheme="minorHAnsi" w:hAnsiTheme="minorHAnsi" w:cs="Arial"/>
          <w:sz w:val="24"/>
          <w:szCs w:val="24"/>
        </w:rPr>
        <w:t xml:space="preserve"> (opcjonalnie</w:t>
      </w:r>
      <w:r w:rsidRPr="00AC25D7">
        <w:rPr>
          <w:rStyle w:val="Odwoanieprzypisudolnego"/>
          <w:rFonts w:asciiTheme="minorHAnsi" w:hAnsiTheme="minorHAnsi" w:cs="Arial"/>
          <w:sz w:val="24"/>
          <w:szCs w:val="24"/>
        </w:rPr>
        <w:footnoteReference w:id="4"/>
      </w:r>
      <w:r w:rsidRPr="00AC25D7">
        <w:rPr>
          <w:rFonts w:asciiTheme="minorHAnsi" w:hAnsiTheme="minorHAnsi" w:cs="Arial"/>
          <w:sz w:val="24"/>
          <w:szCs w:val="24"/>
        </w:rPr>
        <w:t>)</w:t>
      </w:r>
    </w:p>
    <w:p w:rsidR="00E65248" w:rsidRPr="00AC25D7" w:rsidRDefault="00E65248" w:rsidP="004C0824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System PLI CBD, po weryfikacji komunikatu E32 lub E33 otrzymanego od Dostawcy Usług, wysyła do Przedsiębiorców Telekomunikacyjnych, w tym Dostawcy Usług i Operatora Macierzystego komunikat E13.</w:t>
      </w:r>
    </w:p>
    <w:p w:rsidR="00E65248" w:rsidRPr="00AC25D7" w:rsidRDefault="00E65248" w:rsidP="004C0824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Data realizacji modyfikacji Usługi Hurtowej WLR przez Operatora Infrastrukturalnego nie może być późniejsza niż termin ważności Sprawy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CBD.</w:t>
      </w:r>
    </w:p>
    <w:p w:rsidR="00E65248" w:rsidRPr="00AC25D7" w:rsidRDefault="00E65248" w:rsidP="004C0824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 xml:space="preserve">Dostawca Usług, w przypadku otrzymania od Operatora Infrastrukturalnego informacji o negatywnej weryfikacji formalnej, negatywnej weryfikacji technicznej bądź negatywnej realizacji technicznej, a także w przypadku anulowania zamówienia na modyfikację Usługi Hurtowej WLR, zobowiązany jest do przerwania komunikatem E18 procesu </w:t>
      </w:r>
      <w:r w:rsidR="003362AA" w:rsidRPr="00AC25D7">
        <w:rPr>
          <w:rFonts w:asciiTheme="minorHAnsi" w:hAnsiTheme="minorHAnsi" w:cs="Arial"/>
          <w:sz w:val="24"/>
          <w:szCs w:val="24"/>
        </w:rPr>
        <w:t>NP</w:t>
      </w:r>
      <w:r w:rsidRPr="00AC25D7">
        <w:rPr>
          <w:rFonts w:asciiTheme="minorHAnsi" w:hAnsiTheme="minorHAnsi" w:cs="Arial"/>
          <w:sz w:val="24"/>
          <w:szCs w:val="24"/>
        </w:rPr>
        <w:t xml:space="preserve"> w Systemie PLI CBD  niezwłocznie, nie później niż w ciągu 1DR od uzyskania informacji.</w:t>
      </w:r>
    </w:p>
    <w:p w:rsidR="002220F4" w:rsidRPr="00AC25D7" w:rsidRDefault="002220F4" w:rsidP="00F51DB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F51DB3" w:rsidRPr="00AC25D7" w:rsidRDefault="00F51DB3" w:rsidP="00F51DB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Zakładana w zmianach do SOR, komunikacja pomiędzy Systemem PLI CBD a Operatorem Infrastrukturalnym dla komunikatu:</w:t>
      </w:r>
    </w:p>
    <w:p w:rsidR="00F51DB3" w:rsidRPr="00AC25D7" w:rsidRDefault="00F51DB3" w:rsidP="004C0824">
      <w:pPr>
        <w:pStyle w:val="Lista2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E11 – potwierdzenie przez OI pozytywnej realizacji technicznej dla ŁAN, zmiany numeru, dodania zakresu DDI/numerów MSN</w:t>
      </w:r>
    </w:p>
    <w:p w:rsidR="00F51DB3" w:rsidRDefault="00F51DB3" w:rsidP="00F51DB3">
      <w:pPr>
        <w:pStyle w:val="Lista2"/>
        <w:spacing w:line="276" w:lineRule="auto"/>
        <w:ind w:left="283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okresie przejściowym nie jest fizycznie realizowana. </w:t>
      </w:r>
    </w:p>
    <w:p w:rsidR="00AC25D7" w:rsidRPr="00AC25D7" w:rsidRDefault="00AC25D7" w:rsidP="00F51DB3">
      <w:pPr>
        <w:pStyle w:val="Lista2"/>
        <w:spacing w:line="276" w:lineRule="auto"/>
        <w:ind w:left="283"/>
        <w:jc w:val="both"/>
        <w:rPr>
          <w:rFonts w:asciiTheme="minorHAnsi" w:hAnsiTheme="minorHAnsi"/>
          <w:sz w:val="24"/>
          <w:szCs w:val="24"/>
        </w:rPr>
      </w:pPr>
    </w:p>
    <w:p w:rsidR="00F51DB3" w:rsidRPr="00AC25D7" w:rsidRDefault="00F51DB3" w:rsidP="00F51DB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System PLI CBD w procesie NP. przy modyfikacji Usługi Hurtowej WLR, na potrzeby weryfikacji komunikatu E32 lub E33, przyjmuje, że komunikat E11 był pozytywny</w:t>
      </w:r>
      <w:r w:rsidR="00AC25D7">
        <w:rPr>
          <w:rFonts w:asciiTheme="minorHAnsi" w:hAnsiTheme="minorHAnsi"/>
          <w:sz w:val="24"/>
          <w:szCs w:val="24"/>
        </w:rPr>
        <w:t>.</w:t>
      </w:r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5F64A0" w:rsidRDefault="00E65248" w:rsidP="00A02B3C">
      <w:pPr>
        <w:pStyle w:val="Nagwek2"/>
        <w:rPr>
          <w:rFonts w:asciiTheme="minorHAnsi" w:hAnsiTheme="minorHAnsi"/>
          <w:b/>
          <w:lang w:val="pl-PL"/>
        </w:rPr>
      </w:pPr>
      <w:bookmarkStart w:id="12" w:name="_Toc410210701"/>
      <w:r w:rsidRPr="005F64A0">
        <w:rPr>
          <w:rFonts w:asciiTheme="minorHAnsi" w:hAnsiTheme="minorHAnsi"/>
          <w:b/>
          <w:lang w:val="pl-PL"/>
        </w:rPr>
        <w:t>Proces zwrotu Numeru/zakresu Numerów (przydzielanych przez Operatora Infrastrukturalnego)  wskutek modyfikacji w Usłudze Hurtowej WLR, w okresie przejściowym</w:t>
      </w:r>
      <w:bookmarkEnd w:id="12"/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AC25D7" w:rsidRDefault="00E65248" w:rsidP="004C082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284"/>
          <w:tab w:val="left" w:pos="9072"/>
        </w:tabs>
        <w:spacing w:after="12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lastRenderedPageBreak/>
        <w:t>W przypadku realizacji przez Dostawcę Usług z</w:t>
      </w:r>
      <w:r w:rsidR="004C0824">
        <w:rPr>
          <w:rFonts w:asciiTheme="minorHAnsi" w:hAnsiTheme="minorHAnsi" w:cs="Arial"/>
          <w:sz w:val="24"/>
          <w:szCs w:val="24"/>
        </w:rPr>
        <w:t xml:space="preserve">amówienia modyfikacji w Usłudze </w:t>
      </w:r>
      <w:r w:rsidRPr="00AC25D7">
        <w:rPr>
          <w:rFonts w:asciiTheme="minorHAnsi" w:hAnsiTheme="minorHAnsi" w:cs="Arial"/>
          <w:sz w:val="24"/>
          <w:szCs w:val="24"/>
        </w:rPr>
        <w:t>Hurtowej WLR, skutkującej zwrotem zmienianego Numeru/zakresu Numerów lub usunięciem zakresu DDI/Numerów MSN</w:t>
      </w:r>
    </w:p>
    <w:p w:rsidR="00E65248" w:rsidRDefault="00E65248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Dostawca Usług po pozytywnej realizacji technicznej  zamówienia zmiany numeru  lub zamówienia zmiany lokalizacji</w:t>
      </w:r>
      <w:r w:rsidR="00A33E93" w:rsidRPr="00AC25D7">
        <w:rPr>
          <w:rFonts w:asciiTheme="minorHAnsi" w:hAnsiTheme="minorHAnsi" w:cs="Arial"/>
          <w:sz w:val="24"/>
          <w:szCs w:val="24"/>
        </w:rPr>
        <w:t xml:space="preserve"> przez Operatora Infrastrukturalnego </w:t>
      </w:r>
      <w:r w:rsidRPr="00AC25D7">
        <w:rPr>
          <w:rFonts w:asciiTheme="minorHAnsi" w:hAnsiTheme="minorHAnsi" w:cs="Arial"/>
          <w:sz w:val="24"/>
          <w:szCs w:val="24"/>
        </w:rPr>
        <w:t xml:space="preserve"> ze zmianą Numeru/zakresu Numerów,</w:t>
      </w:r>
      <w:r w:rsidRPr="00A02B3C">
        <w:rPr>
          <w:rFonts w:asciiTheme="minorHAnsi" w:hAnsiTheme="minorHAnsi"/>
          <w:color w:val="943634"/>
          <w:sz w:val="24"/>
          <w:szCs w:val="24"/>
        </w:rPr>
        <w:t xml:space="preserve"> przesyła do Systemu PLI CBD komunikat E14</w:t>
      </w:r>
      <w:r w:rsidR="00FA386E" w:rsidRPr="00A02B3C">
        <w:rPr>
          <w:rStyle w:val="Odwoanieprzypisudolnego"/>
          <w:rFonts w:asciiTheme="minorHAnsi" w:hAnsiTheme="minorHAnsi"/>
          <w:color w:val="943634"/>
          <w:sz w:val="24"/>
          <w:szCs w:val="24"/>
        </w:rPr>
        <w:footnoteReference w:id="5"/>
      </w:r>
      <w:r w:rsidRPr="00A02B3C">
        <w:rPr>
          <w:rFonts w:asciiTheme="minorHAnsi" w:hAnsiTheme="minorHAnsi"/>
          <w:color w:val="943634"/>
          <w:sz w:val="24"/>
          <w:szCs w:val="24"/>
        </w:rPr>
        <w:t xml:space="preserve"> Zwrot Numeru dla dotychczasowego Numeru czym inicjuje proces  zwrotu Numeru w Systemie PLI CBD. </w:t>
      </w:r>
      <w:r w:rsidRPr="00A02B3C">
        <w:rPr>
          <w:rFonts w:asciiTheme="minorHAnsi" w:hAnsiTheme="minorHAnsi"/>
          <w:bCs/>
          <w:color w:val="943634"/>
          <w:sz w:val="24"/>
          <w:szCs w:val="24"/>
        </w:rPr>
        <w:t>W takim przypadku Numer zwracany jest do Przedsiębiorcy Telekomunikacyjnego, który ma ten Numer przydzielony przez UKE, lub który ma prawo do dysponowania Numerem na potrzeby świadczenia usług   na podstawie umowy o udostępnieniu numeracji, na podstawie art. 128 Pt.</w:t>
      </w:r>
    </w:p>
    <w:p w:rsidR="00E34FD9" w:rsidRPr="00A02B3C" w:rsidRDefault="00E34FD9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bookmarkStart w:id="13" w:name="OLE_LINK22"/>
      <w:bookmarkStart w:id="14" w:name="OLE_LINK23"/>
      <w:r>
        <w:rPr>
          <w:rFonts w:asciiTheme="minorHAnsi" w:hAnsiTheme="minorHAnsi" w:cs="Arial"/>
          <w:sz w:val="24"/>
          <w:szCs w:val="24"/>
        </w:rPr>
        <w:t xml:space="preserve">Dostawca Usług nie </w:t>
      </w:r>
      <w:r w:rsidRPr="009C555F">
        <w:rPr>
          <w:rFonts w:asciiTheme="minorHAnsi" w:hAnsiTheme="minorHAnsi" w:cs="Arial"/>
          <w:sz w:val="24"/>
          <w:szCs w:val="24"/>
        </w:rPr>
        <w:t xml:space="preserve">określa w komunikacie E14 </w:t>
      </w:r>
      <w:r>
        <w:rPr>
          <w:rFonts w:asciiTheme="minorHAnsi" w:hAnsiTheme="minorHAnsi" w:cs="Arial"/>
          <w:sz w:val="24"/>
          <w:szCs w:val="24"/>
        </w:rPr>
        <w:t>Przedsiębiorcy Telekomunikacyjnego, do którego Numer / zakres DDI jest zwracany (Biorcy)</w:t>
      </w:r>
      <w:r w:rsidRPr="009C555F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Informację tę uzupełnia </w:t>
      </w:r>
      <w:r w:rsidRPr="009C555F">
        <w:rPr>
          <w:rFonts w:asciiTheme="minorHAnsi" w:hAnsiTheme="minorHAnsi" w:cs="Arial"/>
          <w:sz w:val="24"/>
          <w:szCs w:val="24"/>
        </w:rPr>
        <w:t>System PLI CBD na</w:t>
      </w:r>
      <w:r>
        <w:rPr>
          <w:rFonts w:asciiTheme="minorHAnsi" w:hAnsiTheme="minorHAnsi" w:cs="Arial"/>
          <w:sz w:val="24"/>
          <w:szCs w:val="24"/>
        </w:rPr>
        <w:t> </w:t>
      </w:r>
      <w:r w:rsidRPr="009C555F">
        <w:rPr>
          <w:rFonts w:asciiTheme="minorHAnsi" w:hAnsiTheme="minorHAnsi" w:cs="Arial"/>
          <w:sz w:val="24"/>
          <w:szCs w:val="24"/>
        </w:rPr>
        <w:t>podstawie tablic zagospodarowania numeracji z</w:t>
      </w:r>
      <w:r>
        <w:rPr>
          <w:rFonts w:asciiTheme="minorHAnsi" w:hAnsiTheme="minorHAnsi" w:cs="Arial"/>
          <w:sz w:val="24"/>
          <w:szCs w:val="24"/>
        </w:rPr>
        <w:t> </w:t>
      </w:r>
      <w:r w:rsidRPr="009C555F">
        <w:rPr>
          <w:rFonts w:asciiTheme="minorHAnsi" w:hAnsiTheme="minorHAnsi" w:cs="Arial"/>
          <w:sz w:val="24"/>
          <w:szCs w:val="24"/>
        </w:rPr>
        <w:t>uwzględnieniem udostępniania numeracji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>
        <w:rPr>
          <w:rFonts w:asciiTheme="minorHAnsi" w:hAnsiTheme="minorHAnsi" w:cs="Arial"/>
          <w:sz w:val="24"/>
          <w:szCs w:val="24"/>
        </w:rPr>
        <w:t xml:space="preserve"> na podstawie art.128 pt</w:t>
      </w:r>
      <w:r w:rsidRPr="009C555F">
        <w:rPr>
          <w:rFonts w:asciiTheme="minorHAnsi" w:hAnsiTheme="minorHAnsi" w:cs="Arial"/>
          <w:sz w:val="24"/>
          <w:szCs w:val="24"/>
        </w:rPr>
        <w:t>.</w:t>
      </w:r>
      <w:bookmarkEnd w:id="13"/>
      <w:bookmarkEnd w:id="14"/>
    </w:p>
    <w:p w:rsidR="00E65248" w:rsidRDefault="00E65248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Dostawca Usług po pozytywnej realizacji technicznej</w:t>
      </w:r>
      <w:r w:rsidR="00A33E93" w:rsidRPr="00AC25D7">
        <w:rPr>
          <w:rFonts w:asciiTheme="minorHAnsi" w:hAnsiTheme="minorHAnsi" w:cs="Arial"/>
          <w:sz w:val="24"/>
          <w:szCs w:val="24"/>
        </w:rPr>
        <w:t xml:space="preserve"> przez Operatora Infrastrukturalnego</w:t>
      </w:r>
      <w:r w:rsidRPr="00AC25D7">
        <w:rPr>
          <w:rFonts w:asciiTheme="minorHAnsi" w:hAnsiTheme="minorHAnsi" w:cs="Arial"/>
          <w:sz w:val="24"/>
          <w:szCs w:val="24"/>
        </w:rPr>
        <w:t xml:space="preserve"> usunięcia zakresu DDI/Numerów MSN,</w:t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 przesyła do Systemu PLI CBD komunikat E14</w:t>
      </w:r>
      <w:r w:rsidR="00FA386E" w:rsidRPr="005F64A0">
        <w:rPr>
          <w:rStyle w:val="Odwoanieprzypisudolnego"/>
          <w:rFonts w:asciiTheme="minorHAnsi" w:hAnsiTheme="minorHAnsi"/>
          <w:color w:val="943634"/>
          <w:sz w:val="24"/>
          <w:szCs w:val="24"/>
        </w:rPr>
        <w:footnoteReference w:id="7"/>
      </w:r>
      <w:r w:rsidRPr="005F64A0">
        <w:rPr>
          <w:rFonts w:asciiTheme="minorHAnsi" w:hAnsiTheme="minorHAnsi"/>
          <w:color w:val="943634"/>
          <w:sz w:val="24"/>
          <w:szCs w:val="24"/>
        </w:rPr>
        <w:t xml:space="preserve"> Zwrot Numeru dla dotychczasowego Numeru czym inicjuje proces  zwrotu Numeru w Systemie PLI CBD. </w:t>
      </w:r>
    </w:p>
    <w:p w:rsidR="00FF4286" w:rsidRDefault="00FF4286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400"/>
          <w:tab w:val="left" w:pos="9072"/>
        </w:tabs>
        <w:spacing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okresie stabilizacji, </w:t>
      </w:r>
      <w:r w:rsidR="00282586">
        <w:rPr>
          <w:rFonts w:asciiTheme="minorHAnsi" w:hAnsiTheme="minorHAnsi" w:cs="Arial"/>
          <w:sz w:val="24"/>
          <w:szCs w:val="24"/>
        </w:rPr>
        <w:t xml:space="preserve">Dostawca Usług w komunikacie E14 wskazuję Biorcę (Przedsiębiorcę do którego Numer jest zwracany). W celu weryfikacji prawidłowości wskazania </w:t>
      </w:r>
      <w:r w:rsidR="00282586" w:rsidRPr="007A156C">
        <w:rPr>
          <w:rFonts w:asciiTheme="minorHAnsi" w:hAnsiTheme="minorHAnsi" w:cs="Arial"/>
          <w:sz w:val="24"/>
          <w:szCs w:val="24"/>
        </w:rPr>
        <w:t>Biorcy</w:t>
      </w:r>
      <w:r w:rsidR="00282586">
        <w:rPr>
          <w:rFonts w:asciiTheme="minorHAnsi" w:hAnsiTheme="minorHAnsi" w:cs="Arial"/>
          <w:sz w:val="24"/>
          <w:szCs w:val="24"/>
        </w:rPr>
        <w:t xml:space="preserve">, System PLI CBD wysyła do Biorcy komunikat E40 Zapytanie o poprawność danych dotyczących zwracanego Numeru / zakresu </w:t>
      </w:r>
      <w:proofErr w:type="spellStart"/>
      <w:r>
        <w:rPr>
          <w:rFonts w:asciiTheme="minorHAnsi" w:hAnsiTheme="minorHAnsi" w:cs="Arial"/>
          <w:sz w:val="24"/>
          <w:szCs w:val="24"/>
        </w:rPr>
        <w:t>zakresu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DDI. </w:t>
      </w:r>
    </w:p>
    <w:p w:rsidR="00FF4286" w:rsidRPr="008E6BC1" w:rsidRDefault="00FF4286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400"/>
          <w:tab w:val="left" w:pos="9072"/>
        </w:tabs>
        <w:spacing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F4286">
        <w:rPr>
          <w:rFonts w:asciiTheme="minorHAnsi" w:hAnsiTheme="minorHAnsi" w:cs="Arial"/>
          <w:sz w:val="24"/>
          <w:szCs w:val="24"/>
        </w:rPr>
        <w:t xml:space="preserve">W odpowiedzi,  niezwłocznie, nie później </w:t>
      </w:r>
      <w:r w:rsidR="00282586">
        <w:rPr>
          <w:rFonts w:asciiTheme="minorHAnsi" w:hAnsiTheme="minorHAnsi" w:cs="Arial"/>
          <w:sz w:val="24"/>
          <w:szCs w:val="24"/>
        </w:rPr>
        <w:t xml:space="preserve">niż w ciągu 1 godziny, Biorca </w:t>
      </w:r>
      <w:r w:rsidRPr="008E6BC1">
        <w:rPr>
          <w:rFonts w:asciiTheme="minorHAnsi" w:hAnsiTheme="minorHAnsi" w:cs="Arial"/>
          <w:sz w:val="24"/>
          <w:szCs w:val="24"/>
        </w:rPr>
        <w:t>odsyła do Systemu PLI CBD komunikat E41 Odpowiedź o danych dotyczących zwracanego Numeru / zakresu DDI, gdzie potwierdza bądź odrzuca dane.</w:t>
      </w:r>
    </w:p>
    <w:p w:rsidR="00FF4286" w:rsidRDefault="00FF4286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przypadku odrzucenia danych przez </w:t>
      </w:r>
      <w:r w:rsidR="00282586">
        <w:rPr>
          <w:rFonts w:asciiTheme="minorHAnsi" w:hAnsiTheme="minorHAnsi" w:cs="Arial"/>
          <w:sz w:val="24"/>
          <w:szCs w:val="24"/>
        </w:rPr>
        <w:t>Biorcę</w:t>
      </w:r>
      <w:r>
        <w:rPr>
          <w:rFonts w:asciiTheme="minorHAnsi" w:hAnsiTheme="minorHAnsi" w:cs="Arial"/>
          <w:sz w:val="24"/>
          <w:szCs w:val="24"/>
        </w:rPr>
        <w:t>, System PLI CBD odsyła do Dostawcy Usług komunikat E16 z odpowiednim kodem</w:t>
      </w:r>
    </w:p>
    <w:p w:rsidR="00FF4286" w:rsidRPr="008E6BC1" w:rsidRDefault="00FF4286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 pozytywnym potwierdzeniu 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943634"/>
          <w:sz w:val="24"/>
          <w:szCs w:val="24"/>
        </w:rPr>
        <w:t xml:space="preserve">komunikatem E41 przez </w:t>
      </w:r>
      <w:r w:rsidR="00282586">
        <w:rPr>
          <w:rFonts w:asciiTheme="minorHAnsi" w:hAnsiTheme="minorHAnsi"/>
          <w:bCs/>
          <w:color w:val="943634"/>
          <w:sz w:val="24"/>
          <w:szCs w:val="24"/>
        </w:rPr>
        <w:t>Biorcę poprawności określonych</w:t>
      </w:r>
      <w:r>
        <w:rPr>
          <w:rFonts w:asciiTheme="minorHAnsi" w:hAnsiTheme="minorHAnsi"/>
          <w:bCs/>
          <w:color w:val="943634"/>
          <w:sz w:val="24"/>
          <w:szCs w:val="24"/>
        </w:rPr>
        <w:t xml:space="preserve"> przez Dostawcę Usług w 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>komunika</w:t>
      </w:r>
      <w:r>
        <w:rPr>
          <w:rFonts w:asciiTheme="minorHAnsi" w:hAnsiTheme="minorHAnsi"/>
          <w:bCs/>
          <w:color w:val="943634"/>
          <w:sz w:val="24"/>
          <w:szCs w:val="24"/>
        </w:rPr>
        <w:t>cie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 xml:space="preserve"> E1</w:t>
      </w:r>
      <w:r>
        <w:rPr>
          <w:rFonts w:asciiTheme="minorHAnsi" w:hAnsiTheme="minorHAnsi"/>
          <w:bCs/>
          <w:color w:val="943634"/>
          <w:sz w:val="24"/>
          <w:szCs w:val="24"/>
        </w:rPr>
        <w:t xml:space="preserve">4 </w:t>
      </w:r>
      <w:r w:rsidR="00282586">
        <w:rPr>
          <w:rFonts w:asciiTheme="minorHAnsi" w:hAnsiTheme="minorHAnsi"/>
          <w:bCs/>
          <w:color w:val="943634"/>
          <w:sz w:val="24"/>
          <w:szCs w:val="24"/>
        </w:rPr>
        <w:t>danych</w:t>
      </w:r>
      <w:r>
        <w:rPr>
          <w:rFonts w:asciiTheme="minorHAnsi" w:hAnsiTheme="minorHAnsi"/>
          <w:bCs/>
          <w:color w:val="943634"/>
          <w:sz w:val="24"/>
          <w:szCs w:val="24"/>
        </w:rPr>
        <w:t xml:space="preserve">, </w:t>
      </w:r>
      <w:r w:rsidRPr="00CD696C">
        <w:rPr>
          <w:rFonts w:asciiTheme="minorHAnsi" w:hAnsiTheme="minorHAnsi"/>
          <w:bCs/>
          <w:color w:val="943634"/>
          <w:sz w:val="24"/>
          <w:szCs w:val="24"/>
        </w:rPr>
        <w:t xml:space="preserve">System </w:t>
      </w:r>
      <w:r w:rsidRPr="00FB3C74">
        <w:rPr>
          <w:rFonts w:asciiTheme="minorHAnsi" w:hAnsiTheme="minorHAnsi"/>
          <w:bCs/>
          <w:color w:val="943634"/>
          <w:sz w:val="24"/>
          <w:szCs w:val="24"/>
        </w:rPr>
        <w:t>P</w:t>
      </w:r>
      <w:r w:rsidRPr="001D05B5">
        <w:rPr>
          <w:rFonts w:asciiTheme="minorHAnsi" w:hAnsiTheme="minorHAnsi"/>
          <w:bCs/>
          <w:color w:val="943634"/>
          <w:sz w:val="24"/>
          <w:szCs w:val="24"/>
        </w:rPr>
        <w:t xml:space="preserve">LI CBD </w:t>
      </w:r>
      <w:r>
        <w:rPr>
          <w:rFonts w:asciiTheme="minorHAnsi" w:hAnsiTheme="minorHAnsi"/>
          <w:bCs/>
          <w:color w:val="943634"/>
          <w:sz w:val="24"/>
          <w:szCs w:val="24"/>
        </w:rPr>
        <w:t>wysyła komunikat E14 do wszystkich Przedsiębiorców Telekomunikacyjnych</w:t>
      </w:r>
      <w:r w:rsidR="00282586">
        <w:rPr>
          <w:rFonts w:asciiTheme="minorHAnsi" w:hAnsiTheme="minorHAnsi"/>
          <w:bCs/>
          <w:color w:val="943634"/>
          <w:sz w:val="24"/>
          <w:szCs w:val="24"/>
        </w:rPr>
        <w:t xml:space="preserve"> oraz do Operatora Infrastrukturalnego.</w:t>
      </w:r>
    </w:p>
    <w:p w:rsidR="00FF4286" w:rsidRPr="005F64A0" w:rsidRDefault="00FF4286" w:rsidP="004C0824">
      <w:pPr>
        <w:pStyle w:val="HTML-wstpniesformatowany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/>
          <w:bCs/>
          <w:color w:val="943634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Jednocześnie </w:t>
      </w:r>
      <w:r w:rsidRPr="001D05B5">
        <w:rPr>
          <w:rFonts w:asciiTheme="minorHAnsi" w:hAnsiTheme="minorHAnsi"/>
          <w:bCs/>
          <w:color w:val="943634"/>
          <w:sz w:val="24"/>
          <w:szCs w:val="24"/>
        </w:rPr>
        <w:t xml:space="preserve">Numer zwracany </w:t>
      </w:r>
      <w:r w:rsidRPr="00C76EC4">
        <w:rPr>
          <w:rFonts w:asciiTheme="minorHAnsi" w:hAnsiTheme="minorHAnsi"/>
          <w:bCs/>
          <w:color w:val="943634"/>
          <w:sz w:val="24"/>
          <w:szCs w:val="24"/>
        </w:rPr>
        <w:t>jest do Przedsiębiorcy Telekomunikacyjnego, który ma ten Numer przydzielony przez UKE, lub który ma prawo do dysponowania Numerem na potrzeby świadczenia usług   na podstawie umowy o udostępnieniu numeracji, na podstawie art. 128 Pt</w:t>
      </w:r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sz w:val="24"/>
          <w:szCs w:val="24"/>
        </w:rPr>
      </w:pPr>
    </w:p>
    <w:p w:rsidR="00E65248" w:rsidRPr="005F64A0" w:rsidRDefault="00E65248" w:rsidP="005F64A0">
      <w:pPr>
        <w:pStyle w:val="Nagwek2"/>
        <w:rPr>
          <w:rFonts w:asciiTheme="minorHAnsi" w:hAnsiTheme="minorHAnsi"/>
          <w:b/>
          <w:lang w:val="pl-PL"/>
        </w:rPr>
      </w:pPr>
      <w:bookmarkStart w:id="15" w:name="_Toc410210702"/>
      <w:r w:rsidRPr="005F64A0">
        <w:rPr>
          <w:rFonts w:asciiTheme="minorHAnsi" w:hAnsiTheme="minorHAnsi"/>
          <w:b/>
          <w:lang w:val="pl-PL"/>
        </w:rPr>
        <w:t>Komunikacja pomiędzy Systemem PLI CBD a Operatorem Infrastrukturalnym</w:t>
      </w:r>
      <w:bookmarkEnd w:id="15"/>
    </w:p>
    <w:p w:rsidR="00E65248" w:rsidRPr="00AC25D7" w:rsidRDefault="00E65248" w:rsidP="00E6524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E65248" w:rsidRPr="00AC25D7" w:rsidRDefault="00E65248" w:rsidP="00F51DB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8244"/>
          <w:tab w:val="clear" w:pos="9160"/>
          <w:tab w:val="left" w:pos="540"/>
          <w:tab w:val="left" w:pos="9072"/>
        </w:tabs>
        <w:spacing w:after="120"/>
        <w:ind w:left="283"/>
        <w:jc w:val="both"/>
        <w:rPr>
          <w:rFonts w:asciiTheme="minorHAnsi" w:hAnsiTheme="minorHAnsi" w:cs="Arial"/>
          <w:sz w:val="24"/>
          <w:szCs w:val="24"/>
        </w:rPr>
      </w:pPr>
      <w:r w:rsidRPr="00AC25D7">
        <w:rPr>
          <w:rFonts w:asciiTheme="minorHAnsi" w:hAnsiTheme="minorHAnsi" w:cs="Arial"/>
          <w:sz w:val="24"/>
          <w:szCs w:val="24"/>
        </w:rPr>
        <w:t>W okresie przejściowym, nie będzie możliwości wykorzystywania interfejsu wymiany d</w:t>
      </w:r>
      <w:r w:rsidR="00FA386E" w:rsidRPr="00AC25D7">
        <w:rPr>
          <w:rFonts w:asciiTheme="minorHAnsi" w:hAnsiTheme="minorHAnsi" w:cs="Arial"/>
          <w:sz w:val="24"/>
          <w:szCs w:val="24"/>
        </w:rPr>
        <w:t>anych pomiędzy Systemem PLI CBD</w:t>
      </w:r>
      <w:r w:rsidRPr="00AC25D7">
        <w:rPr>
          <w:rFonts w:asciiTheme="minorHAnsi" w:hAnsiTheme="minorHAnsi" w:cs="Arial"/>
          <w:sz w:val="24"/>
          <w:szCs w:val="24"/>
        </w:rPr>
        <w:t xml:space="preserve"> a Operatorem Infrastrukturalnym.</w:t>
      </w:r>
    </w:p>
    <w:p w:rsidR="00EA3DB8" w:rsidRPr="00AC25D7" w:rsidRDefault="00EA3DB8" w:rsidP="009C3C68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E65248" w:rsidRPr="00AC25D7" w:rsidRDefault="00E65248" w:rsidP="009C3C68">
      <w:pPr>
        <w:pStyle w:val="Lista2"/>
        <w:spacing w:line="276" w:lineRule="auto"/>
        <w:ind w:left="283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System PLI CBD w procesie</w:t>
      </w:r>
      <w:r w:rsidR="00F51DB3" w:rsidRPr="00AC25D7">
        <w:rPr>
          <w:rFonts w:asciiTheme="minorHAnsi" w:hAnsiTheme="minorHAnsi"/>
          <w:sz w:val="24"/>
          <w:szCs w:val="24"/>
        </w:rPr>
        <w:t xml:space="preserve"> NP oraz procesach</w:t>
      </w:r>
      <w:r w:rsidRPr="00AC25D7">
        <w:rPr>
          <w:rFonts w:asciiTheme="minorHAnsi" w:hAnsiTheme="minorHAnsi"/>
          <w:sz w:val="24"/>
          <w:szCs w:val="24"/>
        </w:rPr>
        <w:t xml:space="preserve"> związany</w:t>
      </w:r>
      <w:r w:rsidR="00F51DB3" w:rsidRPr="00AC25D7">
        <w:rPr>
          <w:rFonts w:asciiTheme="minorHAnsi" w:hAnsiTheme="minorHAnsi"/>
          <w:sz w:val="24"/>
          <w:szCs w:val="24"/>
        </w:rPr>
        <w:t>ch</w:t>
      </w:r>
      <w:r w:rsidRPr="00AC25D7">
        <w:rPr>
          <w:rFonts w:asciiTheme="minorHAnsi" w:hAnsiTheme="minorHAnsi"/>
          <w:sz w:val="24"/>
          <w:szCs w:val="24"/>
        </w:rPr>
        <w:t xml:space="preserve"> z przydzieleniem Numeru/zakresu Numerów</w:t>
      </w:r>
      <w:r w:rsidR="00435A2E">
        <w:rPr>
          <w:rFonts w:asciiTheme="minorHAnsi" w:hAnsiTheme="minorHAnsi"/>
          <w:sz w:val="24"/>
          <w:szCs w:val="24"/>
        </w:rPr>
        <w:t xml:space="preserve"> </w:t>
      </w:r>
      <w:r w:rsidR="00FA386E" w:rsidRPr="00AC25D7">
        <w:rPr>
          <w:rFonts w:asciiTheme="minorHAnsi" w:hAnsiTheme="minorHAnsi"/>
          <w:sz w:val="24"/>
          <w:szCs w:val="24"/>
        </w:rPr>
        <w:t>w </w:t>
      </w:r>
      <w:r w:rsidRPr="00AC25D7">
        <w:rPr>
          <w:rFonts w:asciiTheme="minorHAnsi" w:hAnsiTheme="minorHAnsi"/>
          <w:sz w:val="24"/>
          <w:szCs w:val="24"/>
        </w:rPr>
        <w:t xml:space="preserve">Usłudze Hurtowej WLR, a także w Procesie </w:t>
      </w:r>
      <w:r w:rsidR="003362AA" w:rsidRPr="00AC25D7">
        <w:rPr>
          <w:rFonts w:asciiTheme="minorHAnsi" w:hAnsiTheme="minorHAnsi"/>
          <w:sz w:val="24"/>
          <w:szCs w:val="24"/>
        </w:rPr>
        <w:t>NP</w:t>
      </w:r>
      <w:r w:rsidRPr="00AC25D7">
        <w:rPr>
          <w:rFonts w:asciiTheme="minorHAnsi" w:hAnsiTheme="minorHAnsi"/>
          <w:sz w:val="24"/>
          <w:szCs w:val="24"/>
        </w:rPr>
        <w:t xml:space="preserve"> realiz</w:t>
      </w:r>
      <w:r w:rsidR="00FA386E" w:rsidRPr="00AC25D7">
        <w:rPr>
          <w:rFonts w:asciiTheme="minorHAnsi" w:hAnsiTheme="minorHAnsi"/>
          <w:sz w:val="24"/>
          <w:szCs w:val="24"/>
        </w:rPr>
        <w:t>owanym w powiązaniu z </w:t>
      </w:r>
      <w:r w:rsidRPr="00AC25D7">
        <w:rPr>
          <w:rFonts w:asciiTheme="minorHAnsi" w:hAnsiTheme="minorHAnsi"/>
          <w:sz w:val="24"/>
          <w:szCs w:val="24"/>
        </w:rPr>
        <w:t>zamówieniem Usługi Hurtowej na Łączu Abonenckim Nieaktywnym, przyjmuje</w:t>
      </w:r>
      <w:r w:rsidR="00F51DB3" w:rsidRPr="00AC25D7">
        <w:rPr>
          <w:rFonts w:asciiTheme="minorHAnsi" w:hAnsiTheme="minorHAnsi"/>
          <w:sz w:val="24"/>
          <w:szCs w:val="24"/>
        </w:rPr>
        <w:t>,</w:t>
      </w:r>
      <w:r w:rsidRPr="00AC25D7">
        <w:rPr>
          <w:rFonts w:asciiTheme="minorHAnsi" w:hAnsiTheme="minorHAnsi"/>
          <w:sz w:val="24"/>
          <w:szCs w:val="24"/>
        </w:rPr>
        <w:t xml:space="preserve"> iż komunikat</w:t>
      </w:r>
      <w:r w:rsidR="00F51DB3" w:rsidRPr="00AC25D7">
        <w:rPr>
          <w:rFonts w:asciiTheme="minorHAnsi" w:hAnsiTheme="minorHAnsi"/>
          <w:sz w:val="24"/>
          <w:szCs w:val="24"/>
        </w:rPr>
        <w:t xml:space="preserve">y: E07, E08, E09, E10 i </w:t>
      </w:r>
      <w:r w:rsidRPr="00AC25D7">
        <w:rPr>
          <w:rFonts w:asciiTheme="minorHAnsi" w:hAnsiTheme="minorHAnsi"/>
          <w:sz w:val="24"/>
          <w:szCs w:val="24"/>
        </w:rPr>
        <w:t xml:space="preserve"> E11 był</w:t>
      </w:r>
      <w:r w:rsidR="00976766">
        <w:rPr>
          <w:rFonts w:asciiTheme="minorHAnsi" w:hAnsiTheme="minorHAnsi"/>
          <w:sz w:val="24"/>
          <w:szCs w:val="24"/>
        </w:rPr>
        <w:t>y</w:t>
      </w:r>
      <w:r w:rsidRPr="00AC25D7">
        <w:rPr>
          <w:rFonts w:asciiTheme="minorHAnsi" w:hAnsiTheme="minorHAnsi"/>
          <w:sz w:val="24"/>
          <w:szCs w:val="24"/>
        </w:rPr>
        <w:t xml:space="preserve"> pozytywn</w:t>
      </w:r>
      <w:r w:rsidR="00976766">
        <w:rPr>
          <w:rFonts w:asciiTheme="minorHAnsi" w:hAnsiTheme="minorHAnsi"/>
          <w:sz w:val="24"/>
          <w:szCs w:val="24"/>
        </w:rPr>
        <w:t>e</w:t>
      </w:r>
      <w:r w:rsidRPr="00AC25D7">
        <w:rPr>
          <w:rFonts w:asciiTheme="minorHAnsi" w:hAnsiTheme="minorHAnsi"/>
          <w:sz w:val="24"/>
          <w:szCs w:val="24"/>
        </w:rPr>
        <w:t>.</w:t>
      </w:r>
    </w:p>
    <w:p w:rsidR="00E65248" w:rsidRPr="00AC25D7" w:rsidRDefault="00E65248" w:rsidP="00E65248">
      <w:pPr>
        <w:pStyle w:val="Lista2"/>
        <w:spacing w:line="276" w:lineRule="auto"/>
        <w:ind w:left="284" w:hanging="1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 okresie przejściowym Operator Infrastrukturalny nie </w:t>
      </w:r>
      <w:r w:rsidR="00FA386E" w:rsidRPr="00AC25D7">
        <w:rPr>
          <w:rFonts w:asciiTheme="minorHAnsi" w:hAnsiTheme="minorHAnsi"/>
          <w:sz w:val="24"/>
          <w:szCs w:val="24"/>
        </w:rPr>
        <w:t>weryfikuje czy Biorca założył w </w:t>
      </w:r>
      <w:r w:rsidRPr="00AC25D7">
        <w:rPr>
          <w:rFonts w:asciiTheme="minorHAnsi" w:hAnsiTheme="minorHAnsi"/>
          <w:sz w:val="24"/>
          <w:szCs w:val="24"/>
        </w:rPr>
        <w:t>Systemie PLI CBD Sprawę NP oraz fizycznie nie inicjuje do Systemu PLI CBD komunikatu E11 o pozytywnej realizacji technicznej zamówień modyfikacji na Usłudze Hurtowej WLR.</w:t>
      </w:r>
    </w:p>
    <w:p w:rsidR="00D3272F" w:rsidRPr="00AC25D7" w:rsidRDefault="00D3272F" w:rsidP="005F64A0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3362AA" w:rsidRPr="005F64A0" w:rsidRDefault="00D812CE" w:rsidP="005F64A0">
      <w:pPr>
        <w:pStyle w:val="Nagwek1"/>
        <w:pBdr>
          <w:top w:val="none" w:sz="0" w:space="0" w:color="auto"/>
        </w:pBdr>
        <w:spacing w:line="276" w:lineRule="auto"/>
        <w:ind w:left="431" w:hanging="431"/>
        <w:rPr>
          <w:rFonts w:asciiTheme="minorHAnsi" w:hAnsiTheme="minorHAnsi" w:cs="Arial"/>
          <w:b/>
          <w:color w:val="17365D"/>
          <w:sz w:val="28"/>
          <w:szCs w:val="24"/>
        </w:rPr>
      </w:pPr>
      <w:bookmarkStart w:id="16" w:name="_Toc410210703"/>
      <w:r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>Najważniejsze r</w:t>
      </w:r>
      <w:r w:rsidR="00BE3AC1" w:rsidRPr="005F64A0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>yzyka</w:t>
      </w:r>
      <w:bookmarkEnd w:id="16"/>
      <w:r w:rsidR="00BE3AC1" w:rsidRPr="005F64A0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 xml:space="preserve"> </w:t>
      </w:r>
    </w:p>
    <w:p w:rsidR="00FD2C80" w:rsidRPr="00AC25D7" w:rsidRDefault="00FD2C80" w:rsidP="00E65248">
      <w:pPr>
        <w:pStyle w:val="Lista2"/>
        <w:spacing w:line="276" w:lineRule="auto"/>
        <w:ind w:left="284" w:hanging="1"/>
        <w:jc w:val="both"/>
        <w:rPr>
          <w:rFonts w:asciiTheme="minorHAnsi" w:hAnsiTheme="minorHAnsi"/>
          <w:sz w:val="24"/>
          <w:szCs w:val="24"/>
        </w:rPr>
      </w:pPr>
    </w:p>
    <w:p w:rsidR="009910F9" w:rsidRPr="00AC25D7" w:rsidRDefault="009910F9" w:rsidP="00E65248">
      <w:pPr>
        <w:pStyle w:val="Lista2"/>
        <w:spacing w:line="276" w:lineRule="auto"/>
        <w:ind w:left="284" w:hanging="1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Analizując zobowiązanie Przedsiębiorców Telekomunikacyjnych świadczących usługi głosowe na podstawie nabywanych od Operatora Infrastrukturalnego Usług Hurtowych, do inicjowania komunikacji dla procesów NP. w Systemie PLI CBD, Wykonawca zdefiniował ryzyka wynikające głównie z dopuszczalnych w obecnej Ofercie SOR terminów realizacji komunikacji pomiędzy uczestnikami procesu zamówienia bądź modyfikacji Usługi Hurtowej w systemach Operatora Infrastrukturalnego.</w:t>
      </w:r>
    </w:p>
    <w:p w:rsidR="00AC25D7" w:rsidRPr="00AC25D7" w:rsidRDefault="00AC25D7" w:rsidP="00E65248">
      <w:pPr>
        <w:pStyle w:val="Lista2"/>
        <w:spacing w:line="276" w:lineRule="auto"/>
        <w:ind w:left="284" w:hanging="1"/>
        <w:jc w:val="both"/>
        <w:rPr>
          <w:rFonts w:asciiTheme="minorHAnsi" w:hAnsiTheme="minorHAnsi"/>
          <w:sz w:val="24"/>
          <w:szCs w:val="24"/>
        </w:rPr>
      </w:pPr>
    </w:p>
    <w:p w:rsidR="00310C0B" w:rsidRPr="00AC25D7" w:rsidRDefault="009C3C68" w:rsidP="004C0824">
      <w:pPr>
        <w:pStyle w:val="Lista2"/>
        <w:numPr>
          <w:ilvl w:val="0"/>
          <w:numId w:val="14"/>
        </w:numPr>
        <w:spacing w:line="276" w:lineRule="auto"/>
        <w:ind w:left="284" w:hanging="1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Komunikat z pozytywną realizacją techniczną zamówieni</w:t>
      </w:r>
      <w:r w:rsidR="00C03472" w:rsidRPr="00AC25D7">
        <w:rPr>
          <w:rFonts w:asciiTheme="minorHAnsi" w:hAnsiTheme="minorHAnsi"/>
          <w:sz w:val="24"/>
          <w:szCs w:val="24"/>
        </w:rPr>
        <w:t>a wysyłany jest przez Operatora</w:t>
      </w:r>
      <w:r w:rsidR="00AC25D7">
        <w:rPr>
          <w:rFonts w:asciiTheme="minorHAnsi" w:hAnsiTheme="minorHAnsi"/>
          <w:sz w:val="24"/>
          <w:szCs w:val="24"/>
        </w:rPr>
        <w:t xml:space="preserve"> </w:t>
      </w:r>
      <w:r w:rsidRPr="00AC25D7">
        <w:rPr>
          <w:rFonts w:asciiTheme="minorHAnsi" w:hAnsiTheme="minorHAnsi"/>
          <w:sz w:val="24"/>
          <w:szCs w:val="24"/>
        </w:rPr>
        <w:t xml:space="preserve">Infrastrukturalnego w ciągu 1 DR od fizycznej realizacji. </w:t>
      </w:r>
      <w:r w:rsidR="00310C0B" w:rsidRPr="00AC25D7">
        <w:rPr>
          <w:rFonts w:asciiTheme="minorHAnsi" w:hAnsiTheme="minorHAnsi"/>
          <w:sz w:val="24"/>
          <w:szCs w:val="24"/>
        </w:rPr>
        <w:t xml:space="preserve">Komunikat pozytywnej realizacji </w:t>
      </w:r>
      <w:r w:rsidR="00C03472" w:rsidRPr="00AC25D7">
        <w:rPr>
          <w:rFonts w:asciiTheme="minorHAnsi" w:hAnsiTheme="minorHAnsi"/>
          <w:sz w:val="24"/>
          <w:szCs w:val="24"/>
        </w:rPr>
        <w:t>jest przekazywany przez Operatora Infrastrukturalnego dla</w:t>
      </w:r>
      <w:r w:rsidR="00310C0B" w:rsidRPr="00AC25D7">
        <w:rPr>
          <w:rFonts w:asciiTheme="minorHAnsi" w:hAnsiTheme="minorHAnsi"/>
          <w:sz w:val="24"/>
          <w:szCs w:val="24"/>
        </w:rPr>
        <w:t>:</w:t>
      </w:r>
    </w:p>
    <w:p w:rsidR="00310C0B" w:rsidRPr="00AC25D7" w:rsidRDefault="00310C0B" w:rsidP="004C0824">
      <w:pPr>
        <w:pStyle w:val="Lista2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Zamówienia</w:t>
      </w:r>
      <w:r w:rsidR="00C03472" w:rsidRPr="00AC25D7">
        <w:rPr>
          <w:rFonts w:asciiTheme="minorHAnsi" w:hAnsiTheme="minorHAnsi"/>
          <w:sz w:val="24"/>
          <w:szCs w:val="24"/>
        </w:rPr>
        <w:t xml:space="preserve"> na Usługę Hurtową na Łączu Abo</w:t>
      </w:r>
      <w:r w:rsidRPr="00AC25D7">
        <w:rPr>
          <w:rFonts w:asciiTheme="minorHAnsi" w:hAnsiTheme="minorHAnsi"/>
          <w:sz w:val="24"/>
          <w:szCs w:val="24"/>
        </w:rPr>
        <w:t>n</w:t>
      </w:r>
      <w:r w:rsidR="00C03472" w:rsidRPr="00AC25D7">
        <w:rPr>
          <w:rFonts w:asciiTheme="minorHAnsi" w:hAnsiTheme="minorHAnsi"/>
          <w:sz w:val="24"/>
          <w:szCs w:val="24"/>
        </w:rPr>
        <w:t>e</w:t>
      </w:r>
      <w:r w:rsidRPr="00AC25D7">
        <w:rPr>
          <w:rFonts w:asciiTheme="minorHAnsi" w:hAnsiTheme="minorHAnsi"/>
          <w:sz w:val="24"/>
          <w:szCs w:val="24"/>
        </w:rPr>
        <w:t>nckim Aktywnym i Nieaktywnym</w:t>
      </w:r>
    </w:p>
    <w:p w:rsidR="00310C0B" w:rsidRPr="00AC25D7" w:rsidRDefault="00310C0B" w:rsidP="004C0824">
      <w:pPr>
        <w:pStyle w:val="Lista2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Zamówienia dezaktywacji Usługi Hurtowej</w:t>
      </w:r>
      <w:r w:rsidR="00C03472" w:rsidRPr="00AC25D7">
        <w:rPr>
          <w:rFonts w:asciiTheme="minorHAnsi" w:hAnsiTheme="minorHAnsi"/>
          <w:sz w:val="24"/>
          <w:szCs w:val="24"/>
        </w:rPr>
        <w:t xml:space="preserve"> </w:t>
      </w:r>
    </w:p>
    <w:p w:rsidR="00C03472" w:rsidRPr="00AC25D7" w:rsidRDefault="00310C0B" w:rsidP="004C0824">
      <w:pPr>
        <w:pStyle w:val="Lista2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Zamówienia</w:t>
      </w:r>
      <w:r w:rsidR="00C03472" w:rsidRPr="00AC25D7">
        <w:rPr>
          <w:rFonts w:asciiTheme="minorHAnsi" w:hAnsiTheme="minorHAnsi"/>
          <w:sz w:val="24"/>
          <w:szCs w:val="24"/>
        </w:rPr>
        <w:t xml:space="preserve"> modyfikacji Usługi Hurtowej: </w:t>
      </w:r>
    </w:p>
    <w:p w:rsidR="00310C0B" w:rsidRPr="00AC25D7" w:rsidRDefault="00C03472" w:rsidP="004C0824">
      <w:pPr>
        <w:pStyle w:val="Lista2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dodania  zakresu DDI/Numerów MSN</w:t>
      </w:r>
    </w:p>
    <w:p w:rsidR="00C03472" w:rsidRPr="00AC25D7" w:rsidRDefault="00C03472" w:rsidP="004C0824">
      <w:pPr>
        <w:pStyle w:val="Lista2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zmiany lokalizacji ze zmianą Numeru/Numerów</w:t>
      </w:r>
    </w:p>
    <w:p w:rsidR="00D3272F" w:rsidRPr="00AC25D7" w:rsidRDefault="00C03472" w:rsidP="004C0824">
      <w:pPr>
        <w:pStyle w:val="Lista2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zmiany Numeru/Numerów</w:t>
      </w:r>
    </w:p>
    <w:p w:rsidR="00AC25D7" w:rsidRPr="00AC25D7" w:rsidRDefault="00AC25D7" w:rsidP="005F64A0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D3272F" w:rsidRPr="00AC25D7" w:rsidRDefault="009C3C68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Oznacza to, że</w:t>
      </w:r>
      <w:r w:rsidR="00342197" w:rsidRPr="00AC25D7">
        <w:rPr>
          <w:rFonts w:asciiTheme="minorHAnsi" w:hAnsiTheme="minorHAnsi"/>
          <w:sz w:val="24"/>
          <w:szCs w:val="24"/>
        </w:rPr>
        <w:t xml:space="preserve"> proces fizycznej zmiany Dostawcy Usług w Systemie PLI CBD i zmian w systemach Przedsiębiorców Telekomunikacyjnych stosujących ACQ jako metodę kierowania ruchem od momentu fizycznej zmiany Dostawcy Usług na danym Numerze/Numerach w Usłudze Hurtowej w systemach Operatora Infrastrukturalnego, </w:t>
      </w:r>
      <w:r w:rsidR="00310C0B" w:rsidRPr="00AC25D7">
        <w:rPr>
          <w:rFonts w:asciiTheme="minorHAnsi" w:hAnsiTheme="minorHAnsi"/>
          <w:sz w:val="24"/>
          <w:szCs w:val="24"/>
        </w:rPr>
        <w:t xml:space="preserve">w najmniej optymistycznym scenariuszu </w:t>
      </w:r>
      <w:r w:rsidR="00342197" w:rsidRPr="00AC25D7">
        <w:rPr>
          <w:rFonts w:asciiTheme="minorHAnsi" w:hAnsiTheme="minorHAnsi"/>
          <w:sz w:val="24"/>
          <w:szCs w:val="24"/>
        </w:rPr>
        <w:t xml:space="preserve">może trwać do </w:t>
      </w:r>
      <w:r w:rsidR="00310C0B" w:rsidRPr="00AC25D7">
        <w:rPr>
          <w:rFonts w:asciiTheme="minorHAnsi" w:hAnsiTheme="minorHAnsi"/>
          <w:sz w:val="24"/>
          <w:szCs w:val="24"/>
        </w:rPr>
        <w:t>69 godzin:</w:t>
      </w:r>
    </w:p>
    <w:p w:rsidR="00342197" w:rsidRPr="00AC25D7" w:rsidRDefault="00342197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Operator Infrastrukturalny realizuje pozytywnie Us</w:t>
      </w:r>
      <w:r w:rsidR="00310C0B" w:rsidRPr="00AC25D7">
        <w:rPr>
          <w:rFonts w:asciiTheme="minorHAnsi" w:hAnsiTheme="minorHAnsi"/>
          <w:sz w:val="24"/>
          <w:szCs w:val="24"/>
        </w:rPr>
        <w:t>ługę Hurtową w piątek o godz. 23:59</w:t>
      </w:r>
    </w:p>
    <w:p w:rsidR="00342197" w:rsidRPr="00AC25D7" w:rsidRDefault="00342197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Operator Infrastrukturalny wysyła komunikat z pozytywną realizacją techniczną w poniedziałek </w:t>
      </w:r>
      <w:r w:rsidR="00310C0B" w:rsidRPr="00AC25D7">
        <w:rPr>
          <w:rFonts w:asciiTheme="minorHAnsi" w:hAnsiTheme="minorHAnsi"/>
          <w:sz w:val="24"/>
          <w:szCs w:val="24"/>
        </w:rPr>
        <w:t>o godz. 16:00</w:t>
      </w:r>
    </w:p>
    <w:p w:rsidR="009C3C68" w:rsidRPr="00AC25D7" w:rsidRDefault="009C3C68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Biorca wyśle komunikat E12 do Systemu PLI CBD</w:t>
      </w:r>
      <w:r w:rsidR="00342197" w:rsidRPr="00AC25D7">
        <w:rPr>
          <w:rFonts w:asciiTheme="minorHAnsi" w:hAnsiTheme="minorHAnsi"/>
          <w:sz w:val="24"/>
          <w:szCs w:val="24"/>
        </w:rPr>
        <w:t xml:space="preserve"> w poniedziałek </w:t>
      </w:r>
      <w:r w:rsidR="00310C0B" w:rsidRPr="00AC25D7">
        <w:rPr>
          <w:rFonts w:asciiTheme="minorHAnsi" w:hAnsiTheme="minorHAnsi"/>
          <w:sz w:val="24"/>
          <w:szCs w:val="24"/>
        </w:rPr>
        <w:t>o godz. 17</w:t>
      </w:r>
      <w:r w:rsidR="00342197" w:rsidRPr="00AC25D7">
        <w:rPr>
          <w:rFonts w:asciiTheme="minorHAnsi" w:hAnsiTheme="minorHAnsi"/>
          <w:sz w:val="24"/>
          <w:szCs w:val="24"/>
        </w:rPr>
        <w:t>:00</w:t>
      </w:r>
    </w:p>
    <w:p w:rsidR="00342197" w:rsidRPr="00AC25D7" w:rsidRDefault="00342197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System PLI CBD niezwłocznie wysyła komunikat E12 do Dawcy</w:t>
      </w:r>
    </w:p>
    <w:p w:rsidR="00342197" w:rsidRPr="00AC25D7" w:rsidRDefault="00342197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Dawca wysyła komunikat E</w:t>
      </w:r>
      <w:r w:rsidR="00310C0B" w:rsidRPr="00AC25D7">
        <w:rPr>
          <w:rFonts w:asciiTheme="minorHAnsi" w:hAnsiTheme="minorHAnsi"/>
          <w:sz w:val="24"/>
          <w:szCs w:val="24"/>
        </w:rPr>
        <w:t>13 do Systemu PLI CBD w poniedziałek o godz. 18</w:t>
      </w:r>
      <w:r w:rsidRPr="00AC25D7">
        <w:rPr>
          <w:rFonts w:asciiTheme="minorHAnsi" w:hAnsiTheme="minorHAnsi"/>
          <w:sz w:val="24"/>
          <w:szCs w:val="24"/>
        </w:rPr>
        <w:t>:00</w:t>
      </w:r>
    </w:p>
    <w:p w:rsidR="00342197" w:rsidRPr="00AC25D7" w:rsidRDefault="00342197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System</w:t>
      </w:r>
      <w:r w:rsidR="00044CC2" w:rsidRPr="00AC25D7">
        <w:rPr>
          <w:rFonts w:asciiTheme="minorHAnsi" w:hAnsiTheme="minorHAnsi"/>
          <w:sz w:val="24"/>
          <w:szCs w:val="24"/>
        </w:rPr>
        <w:t xml:space="preserve"> P</w:t>
      </w:r>
      <w:r w:rsidRPr="00AC25D7">
        <w:rPr>
          <w:rFonts w:asciiTheme="minorHAnsi" w:hAnsiTheme="minorHAnsi"/>
          <w:sz w:val="24"/>
          <w:szCs w:val="24"/>
        </w:rPr>
        <w:t>LI CBD wysyła komunikat E13 niezwłocznie po jego weryfikacji</w:t>
      </w:r>
      <w:r w:rsidR="00310C0B" w:rsidRPr="00AC25D7">
        <w:rPr>
          <w:rFonts w:asciiTheme="minorHAnsi" w:hAnsiTheme="minorHAnsi"/>
          <w:sz w:val="24"/>
          <w:szCs w:val="24"/>
        </w:rPr>
        <w:t xml:space="preserve"> w poniedziałek o godz. 18</w:t>
      </w:r>
      <w:r w:rsidRPr="00AC25D7">
        <w:rPr>
          <w:rFonts w:asciiTheme="minorHAnsi" w:hAnsiTheme="minorHAnsi"/>
          <w:sz w:val="24"/>
          <w:szCs w:val="24"/>
        </w:rPr>
        <w:t>:00</w:t>
      </w:r>
    </w:p>
    <w:p w:rsidR="00342197" w:rsidRPr="00AC25D7" w:rsidRDefault="009C3C68" w:rsidP="004C0824">
      <w:pPr>
        <w:pStyle w:val="Lista2"/>
        <w:numPr>
          <w:ilvl w:val="1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 Przedsiębiorcy Telekomunik</w:t>
      </w:r>
      <w:r w:rsidR="00342197" w:rsidRPr="00AC25D7">
        <w:rPr>
          <w:rFonts w:asciiTheme="minorHAnsi" w:hAnsiTheme="minorHAnsi"/>
          <w:sz w:val="24"/>
          <w:szCs w:val="24"/>
        </w:rPr>
        <w:t>acyjni będą</w:t>
      </w:r>
      <w:r w:rsidR="00310C0B" w:rsidRPr="00AC25D7">
        <w:rPr>
          <w:rFonts w:asciiTheme="minorHAnsi" w:hAnsiTheme="minorHAnsi"/>
          <w:sz w:val="24"/>
          <w:szCs w:val="24"/>
        </w:rPr>
        <w:t xml:space="preserve"> mieli 3 godziny</w:t>
      </w:r>
      <w:r w:rsidR="00342197" w:rsidRPr="00AC25D7">
        <w:rPr>
          <w:rFonts w:asciiTheme="minorHAnsi" w:hAnsiTheme="minorHAnsi"/>
          <w:sz w:val="24"/>
          <w:szCs w:val="24"/>
        </w:rPr>
        <w:t xml:space="preserve"> na zaimplementowanie zmiany w swoich systemach</w:t>
      </w:r>
      <w:r w:rsidR="004A1CCF" w:rsidRPr="00AC25D7">
        <w:rPr>
          <w:rFonts w:asciiTheme="minorHAnsi" w:hAnsiTheme="minorHAnsi"/>
          <w:sz w:val="24"/>
          <w:szCs w:val="24"/>
        </w:rPr>
        <w:t xml:space="preserve"> – fizyczne zmiany w sy</w:t>
      </w:r>
      <w:r w:rsidR="00310C0B" w:rsidRPr="00AC25D7">
        <w:rPr>
          <w:rFonts w:asciiTheme="minorHAnsi" w:hAnsiTheme="minorHAnsi"/>
          <w:sz w:val="24"/>
          <w:szCs w:val="24"/>
        </w:rPr>
        <w:t>s</w:t>
      </w:r>
      <w:r w:rsidR="004A1CCF" w:rsidRPr="00AC25D7">
        <w:rPr>
          <w:rFonts w:asciiTheme="minorHAnsi" w:hAnsiTheme="minorHAnsi"/>
          <w:sz w:val="24"/>
          <w:szCs w:val="24"/>
        </w:rPr>
        <w:t>temach nastąpi</w:t>
      </w:r>
      <w:r w:rsidR="00310C0B" w:rsidRPr="00AC25D7">
        <w:rPr>
          <w:rFonts w:asciiTheme="minorHAnsi" w:hAnsiTheme="minorHAnsi"/>
          <w:sz w:val="24"/>
          <w:szCs w:val="24"/>
        </w:rPr>
        <w:t>ą w poniedziałek o godz. 21</w:t>
      </w:r>
      <w:r w:rsidR="004A1CCF" w:rsidRPr="00AC25D7">
        <w:rPr>
          <w:rFonts w:asciiTheme="minorHAnsi" w:hAnsiTheme="minorHAnsi"/>
          <w:sz w:val="24"/>
          <w:szCs w:val="24"/>
        </w:rPr>
        <w:t>:00</w:t>
      </w:r>
    </w:p>
    <w:p w:rsidR="00AC25D7" w:rsidRPr="00AC25D7" w:rsidRDefault="00AC25D7" w:rsidP="005F64A0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910F9" w:rsidRPr="00AC25D7" w:rsidRDefault="009C3C68" w:rsidP="004C0824">
      <w:pPr>
        <w:pStyle w:val="Lista2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Potwierdzona data realizacji zamówienia na Usługę Hurtową (również na Łączu Abonenckim Nieaktywnym), którą przekazuje Operatora Infrastrukturalnego do Biorcy, w przypadku Usługi Hurtowej LLU</w:t>
      </w:r>
      <w:r w:rsidR="00310C0B" w:rsidRPr="00AC25D7">
        <w:rPr>
          <w:rFonts w:asciiTheme="minorHAnsi" w:hAnsiTheme="minorHAnsi"/>
          <w:sz w:val="24"/>
          <w:szCs w:val="24"/>
        </w:rPr>
        <w:t>,</w:t>
      </w:r>
      <w:r w:rsidRPr="00AC25D7">
        <w:rPr>
          <w:rFonts w:asciiTheme="minorHAnsi" w:hAnsiTheme="minorHAnsi"/>
          <w:sz w:val="24"/>
          <w:szCs w:val="24"/>
        </w:rPr>
        <w:t xml:space="preserve"> w znaczącej większości przypadków zostaje opóźniona. Oznacza to, że zakładana przez Wykonawcę </w:t>
      </w:r>
      <w:r w:rsidR="00310C0B" w:rsidRPr="00AC25D7">
        <w:rPr>
          <w:rFonts w:asciiTheme="minorHAnsi" w:hAnsiTheme="minorHAnsi"/>
          <w:sz w:val="24"/>
          <w:szCs w:val="24"/>
        </w:rPr>
        <w:t xml:space="preserve">blokada </w:t>
      </w:r>
      <w:r w:rsidR="00435A2E">
        <w:rPr>
          <w:rFonts w:asciiTheme="minorHAnsi" w:hAnsiTheme="minorHAnsi"/>
          <w:sz w:val="24"/>
          <w:szCs w:val="24"/>
        </w:rPr>
        <w:t>przerwania procesu NP,</w:t>
      </w:r>
      <w:r w:rsidRPr="00AC25D7">
        <w:rPr>
          <w:rFonts w:asciiTheme="minorHAnsi" w:hAnsiTheme="minorHAnsi"/>
          <w:sz w:val="24"/>
          <w:szCs w:val="24"/>
        </w:rPr>
        <w:t xml:space="preserve"> </w:t>
      </w:r>
      <w:r w:rsidR="00310C0B" w:rsidRPr="00AC25D7">
        <w:rPr>
          <w:rFonts w:asciiTheme="minorHAnsi" w:hAnsiTheme="minorHAnsi"/>
          <w:sz w:val="24"/>
          <w:szCs w:val="24"/>
        </w:rPr>
        <w:t>w terminie krótszym niż 5DR przed</w:t>
      </w:r>
      <w:r w:rsidRPr="00AC25D7">
        <w:rPr>
          <w:rFonts w:asciiTheme="minorHAnsi" w:hAnsiTheme="minorHAnsi"/>
          <w:sz w:val="24"/>
          <w:szCs w:val="24"/>
        </w:rPr>
        <w:t xml:space="preserve"> Umowną Datą Przeniesienia Numeru określoną w komunikacie E06 przez Dawcę, </w:t>
      </w:r>
      <w:r w:rsidR="00310C0B" w:rsidRPr="00AC25D7">
        <w:rPr>
          <w:rFonts w:asciiTheme="minorHAnsi" w:hAnsiTheme="minorHAnsi"/>
          <w:sz w:val="24"/>
          <w:szCs w:val="24"/>
        </w:rPr>
        <w:t>będzie wydłużana do czasu zainicjowania komunikatu E12 przez Biorcę.</w:t>
      </w:r>
    </w:p>
    <w:p w:rsidR="00AC25D7" w:rsidRPr="00AC25D7" w:rsidRDefault="00AC25D7" w:rsidP="005F64A0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10C0B" w:rsidRPr="00AC25D7" w:rsidRDefault="009E27E9" w:rsidP="004C0824">
      <w:pPr>
        <w:pStyle w:val="Lista2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Brak anulowania zamówienia na Usługę Hurtową w systemach Operatora Infrastrukturalnego rzez Biorcę, po prawidłowym</w:t>
      </w:r>
      <w:r w:rsidR="00C03472" w:rsidRPr="00AC25D7">
        <w:rPr>
          <w:rFonts w:asciiTheme="minorHAnsi" w:hAnsiTheme="minorHAnsi"/>
          <w:sz w:val="24"/>
          <w:szCs w:val="24"/>
        </w:rPr>
        <w:t xml:space="preserve"> </w:t>
      </w:r>
      <w:r w:rsidRPr="00AC25D7">
        <w:rPr>
          <w:rFonts w:asciiTheme="minorHAnsi" w:hAnsiTheme="minorHAnsi"/>
          <w:sz w:val="24"/>
          <w:szCs w:val="24"/>
        </w:rPr>
        <w:t>przerwaniu</w:t>
      </w:r>
      <w:r w:rsidR="00C03472" w:rsidRPr="00AC25D7">
        <w:rPr>
          <w:rFonts w:asciiTheme="minorHAnsi" w:hAnsiTheme="minorHAnsi"/>
          <w:sz w:val="24"/>
          <w:szCs w:val="24"/>
        </w:rPr>
        <w:t xml:space="preserve"> komunikatem E17 w Systemie PLI CBD procesu </w:t>
      </w:r>
      <w:r w:rsidR="00435A2E">
        <w:rPr>
          <w:rFonts w:asciiTheme="minorHAnsi" w:hAnsiTheme="minorHAnsi"/>
          <w:sz w:val="24"/>
          <w:szCs w:val="24"/>
        </w:rPr>
        <w:t>NP</w:t>
      </w:r>
      <w:r w:rsidR="00C03472" w:rsidRPr="00AC25D7">
        <w:rPr>
          <w:rFonts w:asciiTheme="minorHAnsi" w:hAnsiTheme="minorHAnsi"/>
          <w:sz w:val="24"/>
          <w:szCs w:val="24"/>
        </w:rPr>
        <w:t xml:space="preserve"> przez Dawcę, który nie ma zawartej z Operatore</w:t>
      </w:r>
      <w:r w:rsidRPr="00AC25D7">
        <w:rPr>
          <w:rFonts w:asciiTheme="minorHAnsi" w:hAnsiTheme="minorHAnsi"/>
          <w:sz w:val="24"/>
          <w:szCs w:val="24"/>
        </w:rPr>
        <w:t>m Infrastrukturalnym Umowy SOR (</w:t>
      </w:r>
      <w:r w:rsidR="00C03472" w:rsidRPr="00AC25D7">
        <w:rPr>
          <w:rFonts w:asciiTheme="minorHAnsi" w:hAnsiTheme="minorHAnsi"/>
          <w:sz w:val="24"/>
          <w:szCs w:val="24"/>
        </w:rPr>
        <w:t>wskutek czego nie może anulować zamówienia na Usługę Hurtową w systemach Operatora Infrastrukturalnego)</w:t>
      </w:r>
      <w:r w:rsidRPr="00AC25D7">
        <w:rPr>
          <w:rFonts w:asciiTheme="minorHAnsi" w:hAnsiTheme="minorHAnsi"/>
          <w:sz w:val="24"/>
          <w:szCs w:val="24"/>
        </w:rPr>
        <w:t xml:space="preserve">. Oznacza to, że Operator Infrastrukturalny zrealizuje fizycznie zamówienie na Usługę Hurtową w swoich systemach i przydzieli Numer Biorcy, wskutek czego zmieni się Dostawca Usług, a w Systemie PLI CBD jako Dostawca Usług </w:t>
      </w:r>
      <w:r w:rsidR="00774B33">
        <w:rPr>
          <w:rFonts w:asciiTheme="minorHAnsi" w:hAnsiTheme="minorHAnsi"/>
          <w:sz w:val="24"/>
          <w:szCs w:val="24"/>
        </w:rPr>
        <w:t xml:space="preserve">wciąż </w:t>
      </w:r>
      <w:r w:rsidRPr="00AC25D7">
        <w:rPr>
          <w:rFonts w:asciiTheme="minorHAnsi" w:hAnsiTheme="minorHAnsi"/>
          <w:sz w:val="24"/>
          <w:szCs w:val="24"/>
        </w:rPr>
        <w:t>wskazany będzie Dawca.</w:t>
      </w:r>
    </w:p>
    <w:p w:rsidR="00AC25D7" w:rsidRPr="00AC25D7" w:rsidRDefault="00AC25D7" w:rsidP="005F64A0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E27E9" w:rsidRPr="00AC25D7" w:rsidRDefault="009E27E9" w:rsidP="004C0824">
      <w:pPr>
        <w:pStyle w:val="Lista2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Brak przerwania procesu NP. komunikatem E18 przez Biorcę lub E17 przez Dawcę, po anulowaniu zamówienia w systemach Operatora Infrastrukturalnego i jednoczesne </w:t>
      </w:r>
      <w:r w:rsidRPr="00AC25D7">
        <w:rPr>
          <w:rFonts w:asciiTheme="minorHAnsi" w:hAnsiTheme="minorHAnsi"/>
          <w:sz w:val="24"/>
          <w:szCs w:val="24"/>
        </w:rPr>
        <w:lastRenderedPageBreak/>
        <w:t>wysłanie komunikatu E12 przez Biorcę</w:t>
      </w:r>
      <w:r w:rsidR="00435A2E">
        <w:rPr>
          <w:rFonts w:asciiTheme="minorHAnsi" w:hAnsiTheme="minorHAnsi"/>
          <w:sz w:val="24"/>
          <w:szCs w:val="24"/>
        </w:rPr>
        <w:t>,</w:t>
      </w:r>
      <w:r w:rsidRPr="00AC25D7">
        <w:rPr>
          <w:rFonts w:asciiTheme="minorHAnsi" w:hAnsiTheme="minorHAnsi"/>
          <w:sz w:val="24"/>
          <w:szCs w:val="24"/>
        </w:rPr>
        <w:t xml:space="preserve"> a następnie E13 przez Dawcę. Oznacza to, że w Systemie PLI CBD będzie widniał nieprawidłowy Dostawca Usług, a do Przedsiębiorców Telekomunikacyjnych wystosowany zostanie komunikat ze zmianą.</w:t>
      </w:r>
    </w:p>
    <w:p w:rsidR="00AC25D7" w:rsidRPr="00AC25D7" w:rsidRDefault="00AC25D7" w:rsidP="005F64A0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E27E9" w:rsidRPr="00AC25D7" w:rsidRDefault="009E27E9" w:rsidP="004C0824">
      <w:pPr>
        <w:pStyle w:val="Lista2"/>
        <w:numPr>
          <w:ilvl w:val="0"/>
          <w:numId w:val="12"/>
        </w:numPr>
        <w:spacing w:line="276" w:lineRule="auto"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Wysłanie przez Biorcę komunikatu E32 lub E33 do Systemu PLI CBD,</w:t>
      </w:r>
      <w:r w:rsidR="00435A2E">
        <w:rPr>
          <w:rFonts w:asciiTheme="minorHAnsi" w:hAnsiTheme="minorHAnsi"/>
          <w:sz w:val="24"/>
          <w:szCs w:val="24"/>
        </w:rPr>
        <w:t xml:space="preserve"> mimo braku realizacji </w:t>
      </w:r>
      <w:r w:rsidRPr="00AC25D7">
        <w:rPr>
          <w:rFonts w:asciiTheme="minorHAnsi" w:hAnsiTheme="minorHAnsi"/>
          <w:sz w:val="24"/>
          <w:szCs w:val="24"/>
        </w:rPr>
        <w:t>zamówienia modyfikacji Usługi Hurtowej.  Oznacza to, że w Systemu PLI CBD zostanie przydzielony Numeru/Zakresu Numerów dla Dostawcy Usług, który nie świadczy usług detalicznych na Usłudze Hurtowej, a Przedsiębiorcy Telekomunikacyjni otrzymają komunikat ze zmianą.</w:t>
      </w:r>
    </w:p>
    <w:p w:rsidR="00AC25D7" w:rsidRPr="00AC25D7" w:rsidRDefault="00AC25D7" w:rsidP="005F64A0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D0586" w:rsidRDefault="009E27E9" w:rsidP="004C0824">
      <w:pPr>
        <w:pStyle w:val="Lista2"/>
        <w:numPr>
          <w:ilvl w:val="0"/>
          <w:numId w:val="12"/>
        </w:numPr>
        <w:spacing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Wysłanie przez Bio</w:t>
      </w:r>
      <w:r w:rsidR="00304C58" w:rsidRPr="00AC25D7">
        <w:rPr>
          <w:rFonts w:asciiTheme="minorHAnsi" w:hAnsiTheme="minorHAnsi"/>
          <w:sz w:val="24"/>
          <w:szCs w:val="24"/>
        </w:rPr>
        <w:t>rcę komunikatu E30</w:t>
      </w:r>
      <w:r w:rsidRPr="00AC25D7">
        <w:rPr>
          <w:rFonts w:asciiTheme="minorHAnsi" w:hAnsiTheme="minorHAnsi"/>
          <w:sz w:val="24"/>
          <w:szCs w:val="24"/>
        </w:rPr>
        <w:t xml:space="preserve"> do Systemu PLI CBD, mimo </w:t>
      </w:r>
      <w:r w:rsidR="00435A2E">
        <w:rPr>
          <w:rFonts w:asciiTheme="minorHAnsi" w:hAnsiTheme="minorHAnsi"/>
          <w:sz w:val="24"/>
          <w:szCs w:val="24"/>
        </w:rPr>
        <w:t>braku realizacji</w:t>
      </w:r>
      <w:r w:rsidRPr="00AC25D7">
        <w:rPr>
          <w:rFonts w:asciiTheme="minorHAnsi" w:hAnsiTheme="minorHAnsi"/>
          <w:sz w:val="24"/>
          <w:szCs w:val="24"/>
        </w:rPr>
        <w:t xml:space="preserve"> zamówienia Usługi Hurtowej na Łączu Abonenckim Ni</w:t>
      </w:r>
      <w:r w:rsidR="009C1963" w:rsidRPr="00AC25D7">
        <w:rPr>
          <w:rFonts w:asciiTheme="minorHAnsi" w:hAnsiTheme="minorHAnsi"/>
          <w:sz w:val="24"/>
          <w:szCs w:val="24"/>
        </w:rPr>
        <w:t>e</w:t>
      </w:r>
      <w:r w:rsidRPr="00AC25D7">
        <w:rPr>
          <w:rFonts w:asciiTheme="minorHAnsi" w:hAnsiTheme="minorHAnsi"/>
          <w:sz w:val="24"/>
          <w:szCs w:val="24"/>
        </w:rPr>
        <w:t>aktywnym.  Oznacza to, że w Systemu PLI CBD zostanie przydzielony Numeru/Zakresu Numerów dla Dostawcy Usług, który nie świadczy usług detalicznych na Usłudze Hu</w:t>
      </w:r>
      <w:r w:rsidR="00790A34">
        <w:rPr>
          <w:rFonts w:asciiTheme="minorHAnsi" w:hAnsiTheme="minorHAnsi"/>
          <w:sz w:val="24"/>
          <w:szCs w:val="24"/>
        </w:rPr>
        <w:t>rtowej, a Przedsiębiorcy Telekom</w:t>
      </w:r>
      <w:r w:rsidRPr="00AC25D7">
        <w:rPr>
          <w:rFonts w:asciiTheme="minorHAnsi" w:hAnsiTheme="minorHAnsi"/>
          <w:sz w:val="24"/>
          <w:szCs w:val="24"/>
        </w:rPr>
        <w:t>unikacyjni otrzymają komunikat ze zmianą</w:t>
      </w:r>
      <w:r w:rsidR="00AC25D7" w:rsidRPr="00AC25D7">
        <w:rPr>
          <w:rFonts w:asciiTheme="minorHAnsi" w:hAnsiTheme="minorHAnsi"/>
          <w:sz w:val="24"/>
          <w:szCs w:val="24"/>
        </w:rPr>
        <w:t>.</w:t>
      </w:r>
      <w:r w:rsidR="00790A34">
        <w:rPr>
          <w:rFonts w:asciiTheme="minorHAnsi" w:hAnsiTheme="minorHAnsi"/>
          <w:sz w:val="24"/>
          <w:szCs w:val="24"/>
        </w:rPr>
        <w:t xml:space="preserve"> </w:t>
      </w:r>
    </w:p>
    <w:p w:rsidR="00790A34" w:rsidRDefault="00790A34" w:rsidP="001F69EC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790A34" w:rsidRPr="00790A34" w:rsidRDefault="00790A34" w:rsidP="001F69EC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D0586" w:rsidRPr="00AC25D7" w:rsidRDefault="002D0586" w:rsidP="004C0824">
      <w:pPr>
        <w:pStyle w:val="Lista2"/>
        <w:numPr>
          <w:ilvl w:val="0"/>
          <w:numId w:val="12"/>
        </w:numPr>
        <w:spacing w:line="276" w:lineRule="auto"/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Zrealizowanie przez Operatora Infrastruktura</w:t>
      </w:r>
      <w:r w:rsidR="00790A34">
        <w:rPr>
          <w:rFonts w:asciiTheme="minorHAnsi" w:hAnsiTheme="minorHAnsi"/>
          <w:sz w:val="24"/>
          <w:szCs w:val="24"/>
        </w:rPr>
        <w:t>lnego zamówienia na Usługę</w:t>
      </w:r>
      <w:r>
        <w:rPr>
          <w:rFonts w:asciiTheme="minorHAnsi" w:hAnsiTheme="minorHAnsi"/>
          <w:sz w:val="24"/>
          <w:szCs w:val="24"/>
        </w:rPr>
        <w:t xml:space="preserve"> Hurtową na Łączu Abonenckim Aktywnym lub Nie</w:t>
      </w:r>
      <w:r w:rsidR="00790A34">
        <w:rPr>
          <w:rFonts w:asciiTheme="minorHAnsi" w:hAnsiTheme="minorHAnsi"/>
          <w:sz w:val="24"/>
          <w:szCs w:val="24"/>
        </w:rPr>
        <w:t>ak</w:t>
      </w:r>
      <w:r>
        <w:rPr>
          <w:rFonts w:asciiTheme="minorHAnsi" w:hAnsiTheme="minorHAnsi"/>
          <w:sz w:val="24"/>
          <w:szCs w:val="24"/>
        </w:rPr>
        <w:t>tywny</w:t>
      </w:r>
      <w:r w:rsidR="00790A34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, po terminie ważności sprawy w Systemie PLI CBD wskutek przedłużającej  się rea</w:t>
      </w:r>
      <w:r w:rsidR="00790A34">
        <w:rPr>
          <w:rFonts w:asciiTheme="minorHAnsi" w:hAnsiTheme="minorHAnsi"/>
          <w:sz w:val="24"/>
          <w:szCs w:val="24"/>
        </w:rPr>
        <w:t>lizacji technicznej w sie</w:t>
      </w:r>
      <w:r w:rsidR="00435A2E">
        <w:rPr>
          <w:rFonts w:asciiTheme="minorHAnsi" w:hAnsiTheme="minorHAnsi"/>
          <w:sz w:val="24"/>
          <w:szCs w:val="24"/>
        </w:rPr>
        <w:t>ci OI. Oznacza to, że sprawa NP</w:t>
      </w:r>
      <w:r w:rsidR="00790A34">
        <w:rPr>
          <w:rFonts w:asciiTheme="minorHAnsi" w:hAnsiTheme="minorHAnsi"/>
          <w:sz w:val="24"/>
          <w:szCs w:val="24"/>
        </w:rPr>
        <w:t xml:space="preserve"> w Systemie PLI CBD zostanie wygaszona, a dojdzie </w:t>
      </w:r>
      <w:r w:rsidR="00DF6F8F">
        <w:rPr>
          <w:rFonts w:asciiTheme="minorHAnsi" w:hAnsiTheme="minorHAnsi"/>
          <w:sz w:val="24"/>
          <w:szCs w:val="24"/>
        </w:rPr>
        <w:t xml:space="preserve">do fizycznej i technicznej </w:t>
      </w:r>
      <w:r w:rsidR="00790A34">
        <w:rPr>
          <w:rFonts w:asciiTheme="minorHAnsi" w:hAnsiTheme="minorHAnsi"/>
          <w:sz w:val="24"/>
          <w:szCs w:val="24"/>
        </w:rPr>
        <w:t xml:space="preserve">zmiany Dostawcy Usług abonenckich. O ile nie ma szczególnego ryzyka </w:t>
      </w:r>
      <w:r w:rsidR="00DF6F8F">
        <w:rPr>
          <w:rFonts w:asciiTheme="minorHAnsi" w:hAnsiTheme="minorHAnsi"/>
          <w:sz w:val="24"/>
          <w:szCs w:val="24"/>
        </w:rPr>
        <w:t>(</w:t>
      </w:r>
      <w:r w:rsidR="00790A34">
        <w:rPr>
          <w:rFonts w:asciiTheme="minorHAnsi" w:hAnsiTheme="minorHAnsi"/>
          <w:sz w:val="24"/>
          <w:szCs w:val="24"/>
        </w:rPr>
        <w:t>poza niespójnością w PLI CBD) w stosunku do zmian w obrębie Łączą Abonenckiego Aktywnego</w:t>
      </w:r>
      <w:r w:rsidR="00DF6F8F">
        <w:rPr>
          <w:rFonts w:asciiTheme="minorHAnsi" w:hAnsiTheme="minorHAnsi"/>
          <w:sz w:val="24"/>
          <w:szCs w:val="24"/>
        </w:rPr>
        <w:t xml:space="preserve"> (</w:t>
      </w:r>
      <w:r w:rsidR="00790A34">
        <w:rPr>
          <w:rFonts w:asciiTheme="minorHAnsi" w:hAnsiTheme="minorHAnsi"/>
          <w:sz w:val="24"/>
          <w:szCs w:val="24"/>
        </w:rPr>
        <w:t xml:space="preserve">PT nie otrzymają komunikatu E13 i nie zmienią kierowania ruchem), to w przypadku realizacji zamówienia na Łączu Abonenckim Nieaktywnym, gdy przydzielany jest Numer/zakres Numerów z numeracji Operatora Macierzystego, Abonenci Przedsiębiorców Telekomunikacyjnych  stosujących metodą ACQ nie dodzwonią się do Abonenta </w:t>
      </w:r>
      <w:r w:rsidR="001F69EC">
        <w:rPr>
          <w:rFonts w:asciiTheme="minorHAnsi" w:hAnsiTheme="minorHAnsi"/>
          <w:sz w:val="24"/>
          <w:szCs w:val="24"/>
        </w:rPr>
        <w:t>Biorcy, któremu Operator Infrastrukturalny fizycznie zrealizował Usługę Hurtową.</w:t>
      </w:r>
    </w:p>
    <w:p w:rsidR="00304C58" w:rsidRDefault="00304C58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4C0824" w:rsidRDefault="004C0824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4C0824" w:rsidRDefault="004C0824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D3272F" w:rsidRPr="005F64A0" w:rsidRDefault="00D3272F" w:rsidP="005F64A0">
      <w:pPr>
        <w:pStyle w:val="Nagwek1"/>
        <w:pBdr>
          <w:top w:val="none" w:sz="0" w:space="0" w:color="auto"/>
        </w:pBdr>
        <w:spacing w:line="276" w:lineRule="auto"/>
        <w:ind w:left="431" w:hanging="431"/>
        <w:rPr>
          <w:rFonts w:asciiTheme="minorHAnsi" w:hAnsiTheme="minorHAnsi" w:cs="Arial"/>
          <w:b/>
          <w:color w:val="17365D"/>
          <w:sz w:val="28"/>
          <w:szCs w:val="24"/>
        </w:rPr>
      </w:pPr>
      <w:bookmarkStart w:id="17" w:name="_Toc410210704"/>
      <w:r w:rsidRPr="005F64A0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>Dane statystyczne</w:t>
      </w:r>
      <w:bookmarkEnd w:id="17"/>
      <w:r w:rsidRPr="005F64A0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 xml:space="preserve"> </w:t>
      </w:r>
    </w:p>
    <w:p w:rsidR="00D3272F" w:rsidRPr="00AC25D7" w:rsidRDefault="00D3272F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1E58B2" w:rsidRDefault="00304C58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Ilości linii </w:t>
      </w:r>
      <w:r w:rsidR="001E58B2" w:rsidRPr="00AC25D7">
        <w:rPr>
          <w:rFonts w:asciiTheme="minorHAnsi" w:hAnsiTheme="minorHAnsi"/>
          <w:sz w:val="24"/>
          <w:szCs w:val="24"/>
        </w:rPr>
        <w:t>stacjonarnych na przestrzeni ostatnich lat wykazuję tendencję spadkową, co potwierdza m.in. opublikowany przez Prezesa UKE Raport o stanie rynku telekomunikacyjnego za rok 2013.</w:t>
      </w:r>
    </w:p>
    <w:p w:rsidR="00B96F7D" w:rsidRPr="00AC25D7" w:rsidRDefault="00B96F7D" w:rsidP="004C0824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C7229C" w:rsidRPr="00AC25D7" w:rsidRDefault="00C7229C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lastRenderedPageBreak/>
        <w:t xml:space="preserve">Raport prezentuje również </w:t>
      </w:r>
      <w:r w:rsidR="00557A70" w:rsidRPr="00AC25D7">
        <w:rPr>
          <w:rFonts w:asciiTheme="minorHAnsi" w:hAnsiTheme="minorHAnsi"/>
          <w:sz w:val="24"/>
          <w:szCs w:val="24"/>
        </w:rPr>
        <w:t xml:space="preserve">procentowe </w:t>
      </w:r>
      <w:r w:rsidRPr="00AC25D7">
        <w:rPr>
          <w:rFonts w:asciiTheme="minorHAnsi" w:hAnsiTheme="minorHAnsi"/>
          <w:sz w:val="24"/>
          <w:szCs w:val="24"/>
        </w:rPr>
        <w:t>udziały łączy telefonii stacjonarnej według rodzaju dostępu</w:t>
      </w:r>
    </w:p>
    <w:p w:rsidR="00557A70" w:rsidRPr="00AC25D7" w:rsidRDefault="00557A70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C7229C" w:rsidRPr="00AC25D7" w:rsidRDefault="00D3272F" w:rsidP="00557A70">
      <w:pPr>
        <w:pStyle w:val="Lista2"/>
        <w:spacing w:line="27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B96F7D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304956" cy="24204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l T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3" cy="242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0" w:rsidRPr="00AC25D7" w:rsidRDefault="00557A70" w:rsidP="00557A70">
      <w:pPr>
        <w:pStyle w:val="Lista2"/>
        <w:spacing w:line="27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źródło: UKE</w:t>
      </w:r>
    </w:p>
    <w:p w:rsidR="001E58B2" w:rsidRPr="00AC25D7" w:rsidRDefault="001E58B2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557A70" w:rsidRPr="00AC25D7" w:rsidRDefault="00557A70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oraz jednocześnie potwierdza rosnąca popularność możliwości szybkiego i bezpłatnego przeniesienia numeru.</w:t>
      </w:r>
    </w:p>
    <w:p w:rsidR="00557A70" w:rsidRPr="00AC25D7" w:rsidRDefault="00557A70" w:rsidP="005F64A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557A70" w:rsidRPr="00AC25D7" w:rsidRDefault="00557A70" w:rsidP="00043E10">
      <w:pPr>
        <w:pStyle w:val="Lista2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7A70" w:rsidRPr="00AC25D7" w:rsidRDefault="00D3272F" w:rsidP="00FD2C80">
      <w:pPr>
        <w:pStyle w:val="Lista2"/>
        <w:spacing w:line="27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CD696C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337816" cy="2430145"/>
            <wp:effectExtent l="0" t="0" r="5715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_N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089" cy="243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0" w:rsidRPr="00AC25D7" w:rsidRDefault="00557A70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557A70" w:rsidRPr="00AC25D7" w:rsidRDefault="00557A70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Według Raportu Prezesa UKE w roku 2013 ok. 1,55 mln użytkowników zdecydowało się na przeniesieniu swojej usługi </w:t>
      </w:r>
      <w:r w:rsidR="00FD2C80" w:rsidRPr="00AC25D7">
        <w:rPr>
          <w:rFonts w:asciiTheme="minorHAnsi" w:hAnsiTheme="minorHAnsi"/>
          <w:sz w:val="24"/>
          <w:szCs w:val="24"/>
        </w:rPr>
        <w:t>do innego Przedsiębiorcy Telekomuni</w:t>
      </w:r>
      <w:r w:rsidRPr="00AC25D7">
        <w:rPr>
          <w:rFonts w:asciiTheme="minorHAnsi" w:hAnsiTheme="minorHAnsi"/>
          <w:sz w:val="24"/>
          <w:szCs w:val="24"/>
        </w:rPr>
        <w:t>k</w:t>
      </w:r>
      <w:r w:rsidR="00FD2C80" w:rsidRPr="00AC25D7">
        <w:rPr>
          <w:rFonts w:asciiTheme="minorHAnsi" w:hAnsiTheme="minorHAnsi"/>
          <w:sz w:val="24"/>
          <w:szCs w:val="24"/>
        </w:rPr>
        <w:t>acyjnego i skorzystało z uprawnienia do zachowania numeru.</w:t>
      </w:r>
    </w:p>
    <w:p w:rsidR="00557A70" w:rsidRPr="00AC25D7" w:rsidRDefault="00557A70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1E58B2" w:rsidRPr="00AC25D7" w:rsidRDefault="001E58B2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lastRenderedPageBreak/>
        <w:t>Według eksperckiej wiedzy Wykonawcy, szczególne istotne zmiany zaszły na rynku sprzedaży Usług Hurtowych WLR</w:t>
      </w:r>
      <w:r w:rsidR="00916474">
        <w:rPr>
          <w:rFonts w:asciiTheme="minorHAnsi" w:hAnsiTheme="minorHAnsi"/>
          <w:sz w:val="24"/>
          <w:szCs w:val="24"/>
        </w:rPr>
        <w:t xml:space="preserve">, co przedstawia poniższy Wykres </w:t>
      </w:r>
      <w:r w:rsidRPr="00AC25D7">
        <w:rPr>
          <w:rFonts w:asciiTheme="minorHAnsi" w:hAnsiTheme="minorHAnsi"/>
          <w:sz w:val="24"/>
          <w:szCs w:val="24"/>
        </w:rPr>
        <w:t>„Ilość zrealizowanych zamówień na Usługę WLR przez Operatora Infrastrukturalnego w latach 2009 – 2013”</w:t>
      </w:r>
      <w:r w:rsidR="00D3272F">
        <w:rPr>
          <w:rFonts w:asciiTheme="minorHAnsi" w:hAnsiTheme="minorHAnsi"/>
          <w:sz w:val="24"/>
          <w:szCs w:val="24"/>
        </w:rPr>
        <w:t>:</w:t>
      </w:r>
    </w:p>
    <w:p w:rsidR="00916474" w:rsidRDefault="00916474" w:rsidP="009E27E9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1E58B2" w:rsidRPr="00AC25D7" w:rsidRDefault="00916474" w:rsidP="009E27E9">
      <w:pPr>
        <w:pStyle w:val="Lista2"/>
        <w:spacing w:line="276" w:lineRule="auto"/>
        <w:ind w:left="0" w:firstLine="0"/>
        <w:jc w:val="both"/>
        <w:rPr>
          <w:rFonts w:asciiTheme="minorHAnsi" w:hAnsiTheme="minorHAnsi"/>
          <w:i/>
        </w:rPr>
      </w:pPr>
      <w:r w:rsidRPr="00385E63">
        <w:rPr>
          <w:rFonts w:ascii="Verdana" w:hAnsi="Verdana" w:cs="Verdana"/>
          <w:noProof/>
          <w:sz w:val="16"/>
          <w:szCs w:val="16"/>
        </w:rPr>
        <w:drawing>
          <wp:inline distT="0" distB="0" distL="0" distR="0">
            <wp:extent cx="5520055" cy="24405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r2009-20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24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B2" w:rsidRPr="00AC25D7" w:rsidRDefault="001E58B2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9E27E9" w:rsidRPr="00AC25D7" w:rsidRDefault="001E58B2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Z</w:t>
      </w:r>
      <w:r w:rsidR="009C1963" w:rsidRPr="00AC25D7">
        <w:rPr>
          <w:rFonts w:asciiTheme="minorHAnsi" w:hAnsiTheme="minorHAnsi"/>
          <w:sz w:val="24"/>
          <w:szCs w:val="24"/>
        </w:rPr>
        <w:t xml:space="preserve"> uwagi na zmniejszającą się ilość linii stacjonarnych i znaczące zmniejszenie się udziału sprzedaży na rynku usług abonenckich świadczonych na bazie Usług Hurtowych nabywanych od Operatora Infrastrukturalnego, </w:t>
      </w:r>
      <w:r w:rsidR="009E27E9" w:rsidRPr="00AC25D7">
        <w:rPr>
          <w:rFonts w:asciiTheme="minorHAnsi" w:hAnsiTheme="minorHAnsi"/>
          <w:sz w:val="24"/>
          <w:szCs w:val="24"/>
        </w:rPr>
        <w:t xml:space="preserve">Wykonawca przeprowadził weryfikację </w:t>
      </w:r>
      <w:r w:rsidR="00FD2C80" w:rsidRPr="00AC25D7">
        <w:rPr>
          <w:rFonts w:asciiTheme="minorHAnsi" w:hAnsiTheme="minorHAnsi"/>
          <w:sz w:val="24"/>
          <w:szCs w:val="24"/>
        </w:rPr>
        <w:t xml:space="preserve">bieżącej </w:t>
      </w:r>
      <w:r w:rsidR="009E27E9" w:rsidRPr="00AC25D7">
        <w:rPr>
          <w:rFonts w:asciiTheme="minorHAnsi" w:hAnsiTheme="minorHAnsi"/>
          <w:sz w:val="24"/>
          <w:szCs w:val="24"/>
        </w:rPr>
        <w:t xml:space="preserve">ilości Spraw NP i ilości realizacji zamówień na Usługę Hurtową WLR, które miały miejsce we wrześniu i październiku </w:t>
      </w:r>
      <w:r w:rsidR="00916474">
        <w:rPr>
          <w:rFonts w:asciiTheme="minorHAnsi" w:hAnsiTheme="minorHAnsi"/>
          <w:sz w:val="24"/>
          <w:szCs w:val="24"/>
        </w:rPr>
        <w:t xml:space="preserve">2014 roku </w:t>
      </w:r>
      <w:r w:rsidR="009E27E9" w:rsidRPr="00AC25D7">
        <w:rPr>
          <w:rFonts w:asciiTheme="minorHAnsi" w:hAnsiTheme="minorHAnsi"/>
          <w:sz w:val="24"/>
          <w:szCs w:val="24"/>
        </w:rPr>
        <w:t>w stacjonarnych sieciach telekomunikacyjnych.</w:t>
      </w:r>
    </w:p>
    <w:p w:rsidR="006720AC" w:rsidRPr="00AC25D7" w:rsidRDefault="006720AC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9C1963" w:rsidRPr="00AC25D7" w:rsidRDefault="00385E63" w:rsidP="00916474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Zgodnie z danymi przekazywanymi z BNP </w:t>
      </w:r>
      <w:r w:rsidR="00774B33">
        <w:rPr>
          <w:rFonts w:asciiTheme="minorHAnsi" w:hAnsiTheme="minorHAnsi"/>
          <w:sz w:val="24"/>
          <w:szCs w:val="24"/>
        </w:rPr>
        <w:t xml:space="preserve">(fizycznie liczba „czystych” NP. jest większa) </w:t>
      </w:r>
      <w:r>
        <w:rPr>
          <w:rFonts w:asciiTheme="minorHAnsi" w:hAnsiTheme="minorHAnsi"/>
          <w:sz w:val="24"/>
          <w:szCs w:val="24"/>
        </w:rPr>
        <w:t>Przedsiębiorcy Telekomunikacyjni zrealizowali</w:t>
      </w:r>
      <w:r w:rsidR="009C1963" w:rsidRPr="00AC25D7">
        <w:rPr>
          <w:rFonts w:asciiTheme="minorHAnsi" w:hAnsiTheme="minorHAnsi"/>
          <w:sz w:val="24"/>
          <w:szCs w:val="24"/>
        </w:rPr>
        <w:t>:</w:t>
      </w:r>
    </w:p>
    <w:p w:rsidR="009C1963" w:rsidRPr="00385E63" w:rsidRDefault="00385E63" w:rsidP="004C0824">
      <w:pPr>
        <w:pStyle w:val="Lista2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>11 193</w:t>
      </w:r>
      <w:r w:rsidR="00304C58" w:rsidRPr="00385E63">
        <w:rPr>
          <w:rFonts w:asciiTheme="minorHAnsi" w:hAnsiTheme="minorHAnsi"/>
          <w:sz w:val="24"/>
          <w:szCs w:val="24"/>
        </w:rPr>
        <w:t xml:space="preserve">     </w:t>
      </w:r>
      <w:r w:rsidR="009C1963" w:rsidRPr="00385E63">
        <w:rPr>
          <w:rFonts w:asciiTheme="minorHAnsi" w:hAnsiTheme="minorHAnsi"/>
          <w:sz w:val="24"/>
          <w:szCs w:val="24"/>
        </w:rPr>
        <w:t>Przeni</w:t>
      </w:r>
      <w:r w:rsidR="00304C58" w:rsidRPr="00385E63">
        <w:rPr>
          <w:rFonts w:asciiTheme="minorHAnsi" w:hAnsiTheme="minorHAnsi"/>
          <w:sz w:val="24"/>
          <w:szCs w:val="24"/>
        </w:rPr>
        <w:t>e</w:t>
      </w:r>
      <w:r w:rsidR="009C1963" w:rsidRPr="00385E63">
        <w:rPr>
          <w:rFonts w:asciiTheme="minorHAnsi" w:hAnsiTheme="minorHAnsi"/>
          <w:sz w:val="24"/>
          <w:szCs w:val="24"/>
        </w:rPr>
        <w:t>sień Numerów we wrześniu 2014r.</w:t>
      </w:r>
    </w:p>
    <w:p w:rsidR="009C1963" w:rsidRPr="00385E63" w:rsidRDefault="00F159A4" w:rsidP="004C0824">
      <w:pPr>
        <w:pStyle w:val="Lista2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 xml:space="preserve">  12 992 Przeniesienia</w:t>
      </w:r>
      <w:r w:rsidR="009C1963" w:rsidRPr="00385E63">
        <w:rPr>
          <w:rFonts w:asciiTheme="minorHAnsi" w:hAnsiTheme="minorHAnsi"/>
          <w:sz w:val="24"/>
          <w:szCs w:val="24"/>
        </w:rPr>
        <w:t xml:space="preserve"> Numerów w październiku 2014r.</w:t>
      </w:r>
    </w:p>
    <w:p w:rsidR="009C1963" w:rsidRPr="00385E63" w:rsidRDefault="009C1963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385E63" w:rsidRPr="00385E63" w:rsidRDefault="00385E63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>Zgodnie z wiedzą Wykonawcy, Przedsiębiorcy Telekomunikacyjni zrealizowali:</w:t>
      </w:r>
    </w:p>
    <w:p w:rsidR="009C1963" w:rsidRPr="00385E63" w:rsidRDefault="00385E63" w:rsidP="004C0824">
      <w:pPr>
        <w:pStyle w:val="Lista2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>Ok. 5 000</w:t>
      </w:r>
      <w:r w:rsidR="00304C58" w:rsidRPr="00385E63">
        <w:rPr>
          <w:rFonts w:asciiTheme="minorHAnsi" w:hAnsiTheme="minorHAnsi"/>
          <w:sz w:val="24"/>
          <w:szCs w:val="24"/>
        </w:rPr>
        <w:t xml:space="preserve">       </w:t>
      </w:r>
      <w:r w:rsidR="009C1963" w:rsidRPr="00385E63">
        <w:rPr>
          <w:rFonts w:asciiTheme="minorHAnsi" w:hAnsiTheme="minorHAnsi"/>
          <w:sz w:val="24"/>
          <w:szCs w:val="24"/>
        </w:rPr>
        <w:t xml:space="preserve">zamówień na </w:t>
      </w:r>
      <w:r w:rsidRPr="00385E63">
        <w:rPr>
          <w:rFonts w:asciiTheme="minorHAnsi" w:hAnsiTheme="minorHAnsi"/>
          <w:sz w:val="24"/>
          <w:szCs w:val="24"/>
        </w:rPr>
        <w:t>Migrację Usługi</w:t>
      </w:r>
      <w:r w:rsidR="009C1963" w:rsidRPr="00385E63">
        <w:rPr>
          <w:rFonts w:asciiTheme="minorHAnsi" w:hAnsiTheme="minorHAnsi"/>
          <w:sz w:val="24"/>
          <w:szCs w:val="24"/>
        </w:rPr>
        <w:t xml:space="preserve"> Hurtową WLR we wrześniu 2014r.</w:t>
      </w:r>
    </w:p>
    <w:p w:rsidR="00385E63" w:rsidRPr="00385E63" w:rsidRDefault="00385E63" w:rsidP="004C0824">
      <w:pPr>
        <w:pStyle w:val="Lista2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>Ok</w:t>
      </w:r>
      <w:r>
        <w:rPr>
          <w:rFonts w:asciiTheme="minorHAnsi" w:hAnsiTheme="minorHAnsi"/>
          <w:sz w:val="24"/>
          <w:szCs w:val="24"/>
        </w:rPr>
        <w:t>.</w:t>
      </w:r>
      <w:r w:rsidRPr="00385E63">
        <w:rPr>
          <w:rFonts w:asciiTheme="minorHAnsi" w:hAnsiTheme="minorHAnsi"/>
          <w:sz w:val="24"/>
          <w:szCs w:val="24"/>
        </w:rPr>
        <w:t xml:space="preserve"> </w:t>
      </w:r>
      <w:r w:rsidR="00DF6F8F">
        <w:rPr>
          <w:rFonts w:asciiTheme="minorHAnsi" w:hAnsiTheme="minorHAnsi"/>
          <w:sz w:val="24"/>
          <w:szCs w:val="24"/>
        </w:rPr>
        <w:t>4 5</w:t>
      </w:r>
      <w:r w:rsidRPr="00385E63">
        <w:rPr>
          <w:rFonts w:asciiTheme="minorHAnsi" w:hAnsiTheme="minorHAnsi"/>
          <w:sz w:val="24"/>
          <w:szCs w:val="24"/>
        </w:rPr>
        <w:t>00</w:t>
      </w:r>
      <w:r w:rsidR="00304C58" w:rsidRPr="00385E63">
        <w:rPr>
          <w:rFonts w:asciiTheme="minorHAnsi" w:hAnsiTheme="minorHAnsi"/>
          <w:sz w:val="24"/>
          <w:szCs w:val="24"/>
        </w:rPr>
        <w:t xml:space="preserve">        </w:t>
      </w:r>
      <w:r w:rsidRPr="00385E63">
        <w:rPr>
          <w:rFonts w:asciiTheme="minorHAnsi" w:hAnsiTheme="minorHAnsi"/>
          <w:sz w:val="24"/>
          <w:szCs w:val="24"/>
        </w:rPr>
        <w:t>zamówień na Migrację Usługę Hurtowej</w:t>
      </w:r>
      <w:r w:rsidR="009C1963" w:rsidRPr="00385E63">
        <w:rPr>
          <w:rFonts w:asciiTheme="minorHAnsi" w:hAnsiTheme="minorHAnsi"/>
          <w:sz w:val="24"/>
          <w:szCs w:val="24"/>
        </w:rPr>
        <w:t xml:space="preserve"> WLR w październiku 2014r.</w:t>
      </w:r>
    </w:p>
    <w:p w:rsidR="00385E63" w:rsidRPr="00385E63" w:rsidRDefault="00385E63" w:rsidP="004C0824">
      <w:pPr>
        <w:pStyle w:val="Lista2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>22 nowe aktywacje Usługi Hurtowej na ŁAN we wrześniu 2014r.</w:t>
      </w:r>
    </w:p>
    <w:p w:rsidR="00385E63" w:rsidRPr="00385E63" w:rsidRDefault="00385E63" w:rsidP="004C0824">
      <w:pPr>
        <w:pStyle w:val="Lista2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85E63">
        <w:rPr>
          <w:rFonts w:asciiTheme="minorHAnsi" w:hAnsiTheme="minorHAnsi"/>
          <w:sz w:val="24"/>
          <w:szCs w:val="24"/>
        </w:rPr>
        <w:t>35</w:t>
      </w:r>
      <w:r>
        <w:rPr>
          <w:rFonts w:asciiTheme="minorHAnsi" w:hAnsiTheme="minorHAnsi"/>
          <w:sz w:val="24"/>
          <w:szCs w:val="24"/>
        </w:rPr>
        <w:t xml:space="preserve"> nowych aktywacji Usługi Hurtowej na ŁAN w październiku 2014r.</w:t>
      </w:r>
    </w:p>
    <w:p w:rsidR="006720AC" w:rsidRPr="00AC25D7" w:rsidRDefault="006720AC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FD2C80" w:rsidRPr="00AC25D7" w:rsidRDefault="006720AC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>Należy założyć</w:t>
      </w:r>
      <w:r w:rsidR="00FD2C80" w:rsidRPr="00AC25D7">
        <w:rPr>
          <w:rFonts w:asciiTheme="minorHAnsi" w:hAnsiTheme="minorHAnsi"/>
          <w:sz w:val="24"/>
          <w:szCs w:val="24"/>
        </w:rPr>
        <w:t>, że udział zamówień głosowych U</w:t>
      </w:r>
      <w:r w:rsidRPr="00AC25D7">
        <w:rPr>
          <w:rFonts w:asciiTheme="minorHAnsi" w:hAnsiTheme="minorHAnsi"/>
          <w:sz w:val="24"/>
          <w:szCs w:val="24"/>
        </w:rPr>
        <w:t>sług Hurtowych</w:t>
      </w:r>
      <w:r w:rsidR="00FD2C80" w:rsidRPr="00AC25D7">
        <w:rPr>
          <w:rFonts w:asciiTheme="minorHAnsi" w:hAnsiTheme="minorHAnsi"/>
          <w:sz w:val="24"/>
          <w:szCs w:val="24"/>
        </w:rPr>
        <w:t>,</w:t>
      </w:r>
      <w:r w:rsidRPr="00AC25D7">
        <w:rPr>
          <w:rFonts w:asciiTheme="minorHAnsi" w:hAnsiTheme="minorHAnsi"/>
          <w:sz w:val="24"/>
          <w:szCs w:val="24"/>
        </w:rPr>
        <w:t xml:space="preserve"> w stosunku do og</w:t>
      </w:r>
      <w:r w:rsidR="00304C58" w:rsidRPr="00AC25D7">
        <w:rPr>
          <w:rFonts w:asciiTheme="minorHAnsi" w:hAnsiTheme="minorHAnsi"/>
          <w:sz w:val="24"/>
          <w:szCs w:val="24"/>
        </w:rPr>
        <w:t>ólnej il</w:t>
      </w:r>
      <w:r w:rsidRPr="00AC25D7">
        <w:rPr>
          <w:rFonts w:asciiTheme="minorHAnsi" w:hAnsiTheme="minorHAnsi"/>
          <w:sz w:val="24"/>
          <w:szCs w:val="24"/>
        </w:rPr>
        <w:t>o</w:t>
      </w:r>
      <w:r w:rsidR="00304C58" w:rsidRPr="00AC25D7">
        <w:rPr>
          <w:rFonts w:asciiTheme="minorHAnsi" w:hAnsiTheme="minorHAnsi"/>
          <w:sz w:val="24"/>
          <w:szCs w:val="24"/>
        </w:rPr>
        <w:t>ś</w:t>
      </w:r>
      <w:r w:rsidRPr="00AC25D7">
        <w:rPr>
          <w:rFonts w:asciiTheme="minorHAnsi" w:hAnsiTheme="minorHAnsi"/>
          <w:sz w:val="24"/>
          <w:szCs w:val="24"/>
        </w:rPr>
        <w:t xml:space="preserve">ci </w:t>
      </w:r>
      <w:r w:rsidR="00304C58" w:rsidRPr="00AC25D7">
        <w:rPr>
          <w:rFonts w:asciiTheme="minorHAnsi" w:hAnsiTheme="minorHAnsi"/>
          <w:sz w:val="24"/>
          <w:szCs w:val="24"/>
        </w:rPr>
        <w:t xml:space="preserve">zmian Dostawców Usług realizujących uprawnienie Abonenta do zachowania numeru, w dalszym ciągu </w:t>
      </w:r>
      <w:r w:rsidR="00DF6F8F">
        <w:rPr>
          <w:rFonts w:asciiTheme="minorHAnsi" w:hAnsiTheme="minorHAnsi"/>
          <w:sz w:val="24"/>
          <w:szCs w:val="24"/>
        </w:rPr>
        <w:t xml:space="preserve">będzie się </w:t>
      </w:r>
      <w:r w:rsidR="00304C58" w:rsidRPr="00AC25D7">
        <w:rPr>
          <w:rFonts w:asciiTheme="minorHAnsi" w:hAnsiTheme="minorHAnsi"/>
          <w:sz w:val="24"/>
          <w:szCs w:val="24"/>
        </w:rPr>
        <w:t>zmniejszał.</w:t>
      </w:r>
    </w:p>
    <w:p w:rsidR="00AC25D7" w:rsidRPr="00AC25D7" w:rsidRDefault="00AC25D7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6720AC" w:rsidRPr="00AC25D7" w:rsidRDefault="00FD2C80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lastRenderedPageBreak/>
        <w:t>W ocenie Wykonawcy  ma to kluczowe znaczenie przy analizie wskazanych powyżej ryzyk</w:t>
      </w:r>
      <w:r w:rsidR="00774B33">
        <w:rPr>
          <w:rFonts w:asciiTheme="minorHAnsi" w:hAnsiTheme="minorHAnsi"/>
          <w:sz w:val="24"/>
          <w:szCs w:val="24"/>
        </w:rPr>
        <w:t xml:space="preserve"> i ewentualnego podjęcia decyzji przez UKE o realizacji wariantu tymczasowego</w:t>
      </w:r>
      <w:r w:rsidRPr="00AC25D7">
        <w:rPr>
          <w:rFonts w:asciiTheme="minorHAnsi" w:hAnsiTheme="minorHAnsi"/>
          <w:sz w:val="24"/>
          <w:szCs w:val="24"/>
        </w:rPr>
        <w:t>.</w:t>
      </w:r>
    </w:p>
    <w:p w:rsidR="009C1963" w:rsidRPr="00AC25D7" w:rsidRDefault="009C1963" w:rsidP="00043E10">
      <w:pPr>
        <w:pStyle w:val="Lista2"/>
        <w:spacing w:line="276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:rsidR="00F21C4A" w:rsidRPr="00AC25D7" w:rsidRDefault="00F66338" w:rsidP="00F66338">
      <w:pPr>
        <w:pStyle w:val="Nagwek1"/>
        <w:pBdr>
          <w:top w:val="none" w:sz="0" w:space="0" w:color="auto"/>
        </w:pBdr>
        <w:spacing w:line="276" w:lineRule="auto"/>
        <w:rPr>
          <w:rFonts w:asciiTheme="minorHAnsi" w:hAnsiTheme="minorHAnsi" w:cs="Arial"/>
          <w:b/>
          <w:color w:val="17365D"/>
          <w:sz w:val="28"/>
          <w:szCs w:val="24"/>
          <w:lang w:val="pl-PL"/>
        </w:rPr>
      </w:pPr>
      <w:bookmarkStart w:id="18" w:name="_Toc405238601"/>
      <w:bookmarkStart w:id="19" w:name="_Toc405238707"/>
      <w:bookmarkStart w:id="20" w:name="_Toc405323271"/>
      <w:bookmarkStart w:id="21" w:name="_Toc405238602"/>
      <w:bookmarkStart w:id="22" w:name="_Toc405238708"/>
      <w:bookmarkStart w:id="23" w:name="_Toc405323272"/>
      <w:bookmarkStart w:id="24" w:name="_Toc405238603"/>
      <w:bookmarkStart w:id="25" w:name="_Toc405238709"/>
      <w:bookmarkStart w:id="26" w:name="_Toc405323273"/>
      <w:bookmarkStart w:id="27" w:name="_Toc405238604"/>
      <w:bookmarkStart w:id="28" w:name="_Toc405238710"/>
      <w:bookmarkStart w:id="29" w:name="_Toc405323274"/>
      <w:bookmarkStart w:id="30" w:name="_Toc405238605"/>
      <w:bookmarkStart w:id="31" w:name="_Toc405238711"/>
      <w:bookmarkStart w:id="32" w:name="_Toc405323275"/>
      <w:bookmarkStart w:id="33" w:name="_Toc405238606"/>
      <w:bookmarkStart w:id="34" w:name="_Toc405238712"/>
      <w:bookmarkStart w:id="35" w:name="_Toc405323276"/>
      <w:bookmarkStart w:id="36" w:name="_Toc405238607"/>
      <w:bookmarkStart w:id="37" w:name="_Toc405238713"/>
      <w:bookmarkStart w:id="38" w:name="_Toc405323277"/>
      <w:bookmarkStart w:id="39" w:name="_Toc405238608"/>
      <w:bookmarkStart w:id="40" w:name="_Toc405238714"/>
      <w:bookmarkStart w:id="41" w:name="_Toc405323278"/>
      <w:bookmarkStart w:id="42" w:name="_Toc405238609"/>
      <w:bookmarkStart w:id="43" w:name="_Toc405238715"/>
      <w:bookmarkStart w:id="44" w:name="_Toc405323279"/>
      <w:bookmarkStart w:id="45" w:name="_Toc41021070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C25D7">
        <w:rPr>
          <w:rFonts w:asciiTheme="minorHAnsi" w:hAnsiTheme="minorHAnsi" w:cs="Arial"/>
          <w:b/>
          <w:color w:val="17365D"/>
          <w:sz w:val="28"/>
          <w:szCs w:val="24"/>
          <w:lang w:val="pl-PL"/>
        </w:rPr>
        <w:t>Podsumowanie</w:t>
      </w:r>
      <w:bookmarkEnd w:id="45"/>
    </w:p>
    <w:p w:rsidR="00F66338" w:rsidRPr="00AC25D7" w:rsidRDefault="00F66338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Default="004C0824" w:rsidP="004C0824">
      <w:pPr>
        <w:tabs>
          <w:tab w:val="left" w:pos="284"/>
          <w:tab w:val="left" w:pos="426"/>
        </w:tabs>
        <w:spacing w:line="276" w:lineRule="auto"/>
        <w:ind w:left="284" w:hanging="43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21C4A" w:rsidRPr="00AC25D7">
        <w:rPr>
          <w:rFonts w:asciiTheme="minorHAnsi" w:hAnsiTheme="minorHAnsi"/>
          <w:sz w:val="24"/>
          <w:szCs w:val="24"/>
        </w:rPr>
        <w:t>Wdrożenie okresu przejściowego</w:t>
      </w:r>
      <w:r w:rsidR="00EA3DB8" w:rsidRPr="00AC25D7">
        <w:rPr>
          <w:rFonts w:asciiTheme="minorHAnsi" w:hAnsiTheme="minorHAnsi"/>
          <w:sz w:val="24"/>
          <w:szCs w:val="24"/>
        </w:rPr>
        <w:t xml:space="preserve"> </w:t>
      </w:r>
      <w:r w:rsidR="003D1637">
        <w:rPr>
          <w:rFonts w:asciiTheme="minorHAnsi" w:hAnsiTheme="minorHAnsi"/>
          <w:sz w:val="24"/>
          <w:szCs w:val="24"/>
        </w:rPr>
        <w:t xml:space="preserve">obowiązującego do czasu wprowadzenia zmian do SOR, </w:t>
      </w:r>
      <w:r w:rsidR="00EA3DB8" w:rsidRPr="00AC25D7">
        <w:rPr>
          <w:rFonts w:asciiTheme="minorHAnsi" w:hAnsiTheme="minorHAnsi"/>
          <w:sz w:val="24"/>
          <w:szCs w:val="24"/>
        </w:rPr>
        <w:t xml:space="preserve">w ocenie Wykonawcy, </w:t>
      </w:r>
      <w:r w:rsidR="00516DDF">
        <w:rPr>
          <w:rFonts w:asciiTheme="minorHAnsi" w:hAnsiTheme="minorHAnsi"/>
          <w:sz w:val="24"/>
          <w:szCs w:val="24"/>
        </w:rPr>
        <w:t xml:space="preserve">z jednej strony </w:t>
      </w:r>
      <w:r w:rsidR="00EA3DB8" w:rsidRPr="00AC25D7">
        <w:rPr>
          <w:rFonts w:asciiTheme="minorHAnsi" w:hAnsiTheme="minorHAnsi"/>
          <w:sz w:val="24"/>
          <w:szCs w:val="24"/>
        </w:rPr>
        <w:t>pozwoli na</w:t>
      </w:r>
      <w:r w:rsidR="00F21C4A" w:rsidRPr="00AC25D7">
        <w:rPr>
          <w:rFonts w:asciiTheme="minorHAnsi" w:hAnsiTheme="minorHAnsi"/>
          <w:sz w:val="24"/>
          <w:szCs w:val="24"/>
        </w:rPr>
        <w:t xml:space="preserve"> </w:t>
      </w:r>
      <w:r w:rsidR="003D1637">
        <w:rPr>
          <w:rFonts w:asciiTheme="minorHAnsi" w:hAnsiTheme="minorHAnsi"/>
          <w:sz w:val="24"/>
          <w:szCs w:val="24"/>
        </w:rPr>
        <w:t xml:space="preserve">oczekiwane przez Przedsiębiorców Telekomunikacyjnych </w:t>
      </w:r>
      <w:r w:rsidR="00F21C4A" w:rsidRPr="00AC25D7">
        <w:rPr>
          <w:rFonts w:asciiTheme="minorHAnsi" w:hAnsiTheme="minorHAnsi"/>
          <w:sz w:val="24"/>
          <w:szCs w:val="24"/>
        </w:rPr>
        <w:t xml:space="preserve">ujednolicenie zasad realizacji uprawnienia Abonenta do zachowania numeru </w:t>
      </w:r>
      <w:r w:rsidR="00B27B1C" w:rsidRPr="00AC25D7">
        <w:rPr>
          <w:rFonts w:asciiTheme="minorHAnsi" w:hAnsiTheme="minorHAnsi"/>
          <w:sz w:val="24"/>
          <w:szCs w:val="24"/>
        </w:rPr>
        <w:t>przy zmianie Dostawcy Usług,</w:t>
      </w:r>
      <w:r w:rsidR="00440150" w:rsidRPr="00AC25D7">
        <w:rPr>
          <w:rFonts w:asciiTheme="minorHAnsi" w:hAnsiTheme="minorHAnsi"/>
          <w:sz w:val="24"/>
          <w:szCs w:val="24"/>
        </w:rPr>
        <w:t>, aczkolwiek wiąże się z wieloma ryzykami</w:t>
      </w:r>
      <w:r w:rsidR="00916474">
        <w:rPr>
          <w:rFonts w:asciiTheme="minorHAnsi" w:hAnsiTheme="minorHAnsi"/>
          <w:sz w:val="24"/>
          <w:szCs w:val="24"/>
        </w:rPr>
        <w:t>, wskazanymi przez Wykonawcę w punkcie 4 powyżej</w:t>
      </w:r>
      <w:r w:rsidR="00F21C4A" w:rsidRPr="00AC25D7">
        <w:rPr>
          <w:rFonts w:asciiTheme="minorHAnsi" w:hAnsiTheme="minorHAnsi"/>
          <w:sz w:val="24"/>
          <w:szCs w:val="24"/>
        </w:rPr>
        <w:t>.</w:t>
      </w:r>
      <w:r w:rsidR="00662CAD" w:rsidRPr="00AC25D7">
        <w:rPr>
          <w:rFonts w:asciiTheme="minorHAnsi" w:hAnsiTheme="minorHAnsi"/>
          <w:sz w:val="24"/>
          <w:szCs w:val="24"/>
        </w:rPr>
        <w:t xml:space="preserve"> </w:t>
      </w:r>
    </w:p>
    <w:p w:rsidR="003D1637" w:rsidRDefault="003D1637" w:rsidP="004C0824">
      <w:pPr>
        <w:tabs>
          <w:tab w:val="left" w:pos="284"/>
        </w:tabs>
        <w:spacing w:line="276" w:lineRule="auto"/>
        <w:ind w:left="284" w:firstLine="11"/>
        <w:rPr>
          <w:rFonts w:asciiTheme="minorHAnsi" w:hAnsiTheme="minorHAnsi"/>
          <w:sz w:val="24"/>
          <w:szCs w:val="24"/>
        </w:rPr>
      </w:pPr>
    </w:p>
    <w:p w:rsidR="003D1637" w:rsidRDefault="002D0ED5" w:rsidP="004C0824">
      <w:pPr>
        <w:tabs>
          <w:tab w:val="left" w:pos="284"/>
        </w:tabs>
        <w:spacing w:line="276" w:lineRule="auto"/>
        <w:ind w:left="284" w:firstLine="1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Wskutek ograniczeń</w:t>
      </w:r>
      <w:r w:rsidR="00D13F98">
        <w:rPr>
          <w:rFonts w:asciiTheme="minorHAnsi" w:hAnsiTheme="minorHAnsi"/>
          <w:sz w:val="24"/>
          <w:szCs w:val="24"/>
        </w:rPr>
        <w:t xml:space="preserve">, które wynikają </w:t>
      </w:r>
      <w:r>
        <w:rPr>
          <w:rFonts w:asciiTheme="minorHAnsi" w:hAnsiTheme="minorHAnsi"/>
          <w:sz w:val="24"/>
          <w:szCs w:val="24"/>
        </w:rPr>
        <w:t>z przedłużającego się rozpoczęcia prac nad zmianami do SOR przez OPL, u</w:t>
      </w:r>
      <w:r w:rsidR="003D1637">
        <w:rPr>
          <w:rFonts w:asciiTheme="minorHAnsi" w:hAnsiTheme="minorHAnsi"/>
          <w:sz w:val="24"/>
          <w:szCs w:val="24"/>
        </w:rPr>
        <w:t xml:space="preserve">ruchomienie procesu Przenoszenia Numeru w sieciach stacjonarnych poprzez Systemu PLI CBD, które zgodnie z Harmonogramem przewidziane jest na 2 października 2015 roku, </w:t>
      </w:r>
      <w:r>
        <w:rPr>
          <w:rFonts w:asciiTheme="minorHAnsi" w:hAnsiTheme="minorHAnsi"/>
          <w:sz w:val="24"/>
          <w:szCs w:val="24"/>
        </w:rPr>
        <w:t xml:space="preserve">realizowane będzie nie tylko z określonymi w punkcie 3 odstępstwami od zasad realizacji procesów opisanych w dokumencie „Opis procesów przenoszenia numerów w PLI CBD”.  Istotną kwestią jest również brak możliwości włączenia walidacji w Systemie PLI CBD oraz </w:t>
      </w:r>
      <w:r w:rsidR="00006D21">
        <w:rPr>
          <w:rFonts w:asciiTheme="minorHAnsi" w:hAnsiTheme="minorHAnsi"/>
          <w:sz w:val="24"/>
          <w:szCs w:val="24"/>
        </w:rPr>
        <w:t xml:space="preserve">brak możliwości </w:t>
      </w:r>
      <w:r>
        <w:rPr>
          <w:rFonts w:asciiTheme="minorHAnsi" w:hAnsiTheme="minorHAnsi"/>
          <w:sz w:val="24"/>
          <w:szCs w:val="24"/>
        </w:rPr>
        <w:t xml:space="preserve">zakończenia budowy </w:t>
      </w:r>
      <w:r w:rsidRPr="00AC25D7">
        <w:rPr>
          <w:rFonts w:asciiTheme="minorHAnsi" w:hAnsiTheme="minorHAnsi"/>
          <w:sz w:val="24"/>
          <w:szCs w:val="24"/>
        </w:rPr>
        <w:t>Referencyjnej Centralnej Bazie Numerów Przeniesionych</w:t>
      </w:r>
      <w:r>
        <w:rPr>
          <w:rFonts w:asciiTheme="minorHAnsi" w:hAnsiTheme="minorHAnsi"/>
          <w:sz w:val="24"/>
          <w:szCs w:val="24"/>
        </w:rPr>
        <w:t xml:space="preserve"> dla numeracji stacjonarnej. </w:t>
      </w:r>
      <w:r w:rsidR="0045738D">
        <w:rPr>
          <w:rFonts w:asciiTheme="minorHAnsi" w:hAnsiTheme="minorHAnsi"/>
          <w:sz w:val="24"/>
          <w:szCs w:val="24"/>
        </w:rPr>
        <w:t>Niewątpliwie wpłynie to</w:t>
      </w:r>
      <w:r w:rsidR="00D13F98">
        <w:rPr>
          <w:rFonts w:asciiTheme="minorHAnsi" w:hAnsiTheme="minorHAnsi"/>
          <w:sz w:val="24"/>
          <w:szCs w:val="24"/>
        </w:rPr>
        <w:t xml:space="preserve"> na dane dla numerów stacjonarnych zawarte w Referencyjnej Centralnej Bazie Numerów Przeniesionych</w:t>
      </w:r>
      <w:r w:rsidR="0045738D">
        <w:rPr>
          <w:rFonts w:asciiTheme="minorHAnsi" w:hAnsiTheme="minorHAnsi"/>
          <w:sz w:val="24"/>
          <w:szCs w:val="24"/>
        </w:rPr>
        <w:t>.</w:t>
      </w:r>
    </w:p>
    <w:p w:rsidR="004C0824" w:rsidRDefault="004C0824" w:rsidP="004C0824">
      <w:pPr>
        <w:tabs>
          <w:tab w:val="left" w:pos="284"/>
        </w:tabs>
        <w:spacing w:line="276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45738D" w:rsidRDefault="0045738D" w:rsidP="004C0824">
      <w:pPr>
        <w:tabs>
          <w:tab w:val="left" w:pos="284"/>
        </w:tabs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ocenie Wykonawcy szczególn</w:t>
      </w:r>
      <w:r w:rsidR="00006D21">
        <w:rPr>
          <w:rFonts w:asciiTheme="minorHAnsi" w:hAnsiTheme="minorHAnsi"/>
          <w:sz w:val="24"/>
          <w:szCs w:val="24"/>
        </w:rPr>
        <w:t xml:space="preserve">y wpływ na wyżej wymienione ograniczenia ma </w:t>
      </w:r>
      <w:r>
        <w:rPr>
          <w:rFonts w:asciiTheme="minorHAnsi" w:hAnsiTheme="minorHAnsi"/>
          <w:sz w:val="24"/>
          <w:szCs w:val="24"/>
        </w:rPr>
        <w:t>nieuzas</w:t>
      </w:r>
      <w:r w:rsidR="00006D21">
        <w:rPr>
          <w:rFonts w:asciiTheme="minorHAnsi" w:hAnsiTheme="minorHAnsi"/>
          <w:sz w:val="24"/>
          <w:szCs w:val="24"/>
        </w:rPr>
        <w:t>adniona obecnie</w:t>
      </w:r>
      <w:r>
        <w:rPr>
          <w:rFonts w:asciiTheme="minorHAnsi" w:hAnsiTheme="minorHAnsi"/>
          <w:sz w:val="24"/>
          <w:szCs w:val="24"/>
        </w:rPr>
        <w:t xml:space="preserve"> zwłoka OPL</w:t>
      </w:r>
      <w:r w:rsidR="00006D21">
        <w:rPr>
          <w:rFonts w:asciiTheme="minorHAnsi" w:hAnsiTheme="minorHAnsi"/>
          <w:sz w:val="24"/>
          <w:szCs w:val="24"/>
        </w:rPr>
        <w:t xml:space="preserve"> w przygotowaniu zmian do Oferty SOR</w:t>
      </w:r>
      <w:r>
        <w:rPr>
          <w:rFonts w:asciiTheme="minorHAnsi" w:hAnsiTheme="minorHAnsi"/>
          <w:sz w:val="24"/>
          <w:szCs w:val="24"/>
        </w:rPr>
        <w:t>. Wykonawca nadmienia, iż w trakcie realizacji projektu rozbudowy PLI CBD, przygotowany został dokument „Niezbędnych zmian w Ofercie SOR” stanowiący Załącznik do „Opisu procesów przenoszenia numerów w PLI CBD”</w:t>
      </w:r>
      <w:r w:rsidR="00006D21">
        <w:rPr>
          <w:rFonts w:asciiTheme="minorHAnsi" w:hAnsiTheme="minorHAnsi"/>
          <w:sz w:val="24"/>
          <w:szCs w:val="24"/>
        </w:rPr>
        <w:t>, który był wielokrotnie konsultowany z Przedsiębiorcami Telekomunikacyjnymi, i został  przygotowany zgodnie z kierunkową decyzją Zamawiającego co do wariantu rozbudowy PLI CBD.</w:t>
      </w:r>
    </w:p>
    <w:p w:rsidR="00E127CB" w:rsidRPr="00AC25D7" w:rsidRDefault="00E127CB" w:rsidP="004C0824">
      <w:pPr>
        <w:tabs>
          <w:tab w:val="left" w:pos="284"/>
        </w:tabs>
        <w:spacing w:line="276" w:lineRule="auto"/>
        <w:ind w:left="284" w:firstLine="1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można również </w:t>
      </w:r>
      <w:r w:rsidR="00006D21">
        <w:rPr>
          <w:rFonts w:asciiTheme="minorHAnsi" w:hAnsiTheme="minorHAnsi"/>
          <w:sz w:val="24"/>
          <w:szCs w:val="24"/>
        </w:rPr>
        <w:t>wykluczyć scenariusz</w:t>
      </w:r>
      <w:r>
        <w:rPr>
          <w:rFonts w:asciiTheme="minorHAnsi" w:hAnsiTheme="minorHAnsi"/>
          <w:sz w:val="24"/>
          <w:szCs w:val="24"/>
        </w:rPr>
        <w:t xml:space="preserve">, w którym Przedsiębiorcy Telekomunikacyjni, świadczący usługi w oparciu o zawartą z OPL Umowę SOR ( lub inną umowę na Usługi Hurtowe), będą opóźniać podłączenie się do Systemu PLI CBD i powołując się na zapisy </w:t>
      </w:r>
      <w:r w:rsidR="00EE5F5B">
        <w:rPr>
          <w:rFonts w:asciiTheme="minorHAnsi" w:hAnsiTheme="minorHAnsi"/>
          <w:sz w:val="24"/>
          <w:szCs w:val="24"/>
        </w:rPr>
        <w:t xml:space="preserve">przedmiotowych </w:t>
      </w:r>
      <w:r>
        <w:rPr>
          <w:rFonts w:asciiTheme="minorHAnsi" w:hAnsiTheme="minorHAnsi"/>
          <w:sz w:val="24"/>
          <w:szCs w:val="24"/>
        </w:rPr>
        <w:t xml:space="preserve">Umów z OPL, </w:t>
      </w:r>
      <w:r w:rsidR="00EE5F5B">
        <w:rPr>
          <w:rFonts w:asciiTheme="minorHAnsi" w:hAnsiTheme="minorHAnsi"/>
          <w:sz w:val="24"/>
          <w:szCs w:val="24"/>
        </w:rPr>
        <w:t>wskutek braku stosownej komunikacji z PLI CBD, uniemożliwią Biorcy realizację Przeniesienia</w:t>
      </w:r>
      <w:r>
        <w:rPr>
          <w:rFonts w:asciiTheme="minorHAnsi" w:hAnsiTheme="minorHAnsi"/>
          <w:sz w:val="24"/>
          <w:szCs w:val="24"/>
        </w:rPr>
        <w:t xml:space="preserve"> Numeru,</w:t>
      </w:r>
      <w:r w:rsidR="00EE5F5B">
        <w:rPr>
          <w:rFonts w:asciiTheme="minorHAnsi" w:hAnsiTheme="minorHAnsi"/>
          <w:sz w:val="24"/>
          <w:szCs w:val="24"/>
        </w:rPr>
        <w:t xml:space="preserve"> co wpłynie na b</w:t>
      </w:r>
      <w:r>
        <w:rPr>
          <w:rFonts w:asciiTheme="minorHAnsi" w:hAnsiTheme="minorHAnsi"/>
          <w:sz w:val="24"/>
          <w:szCs w:val="24"/>
        </w:rPr>
        <w:t>r</w:t>
      </w:r>
      <w:r w:rsidR="00EE5F5B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k możliwości realizacji uprawnień </w:t>
      </w:r>
      <w:r w:rsidR="00EE5F5B">
        <w:rPr>
          <w:rFonts w:asciiTheme="minorHAnsi" w:hAnsiTheme="minorHAnsi"/>
          <w:sz w:val="24"/>
          <w:szCs w:val="24"/>
        </w:rPr>
        <w:t>Abonenta przez Biorcę. Ważne jest zatem wprowadzenie przez Zamawiającego mechanizmów kontrolnych oraz przyspieszonej procedury egzekwowania przez Zamawiającego obowiązków nałożonych na Przedsiębiorców Telekomunikacyjnych w Prawie telekomunikacyjnym.</w:t>
      </w:r>
    </w:p>
    <w:p w:rsidR="00F21C4A" w:rsidRPr="00AC25D7" w:rsidRDefault="00F21C4A" w:rsidP="004C0824">
      <w:pPr>
        <w:tabs>
          <w:tab w:val="left" w:pos="28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F21C4A" w:rsidRPr="003D1637" w:rsidRDefault="00F21C4A" w:rsidP="004C0824">
      <w:pPr>
        <w:tabs>
          <w:tab w:val="left" w:pos="284"/>
        </w:tabs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AC25D7">
        <w:rPr>
          <w:rFonts w:asciiTheme="minorHAnsi" w:hAnsiTheme="minorHAnsi"/>
          <w:sz w:val="24"/>
          <w:szCs w:val="24"/>
        </w:rPr>
        <w:t xml:space="preserve">Wykonawca </w:t>
      </w:r>
      <w:r w:rsidR="00C306A0">
        <w:rPr>
          <w:rFonts w:asciiTheme="minorHAnsi" w:hAnsiTheme="minorHAnsi"/>
          <w:sz w:val="24"/>
          <w:szCs w:val="24"/>
        </w:rPr>
        <w:t>potwierdza</w:t>
      </w:r>
      <w:r w:rsidR="003D1637">
        <w:rPr>
          <w:rFonts w:asciiTheme="minorHAnsi" w:hAnsiTheme="minorHAnsi"/>
          <w:sz w:val="24"/>
          <w:szCs w:val="24"/>
        </w:rPr>
        <w:t xml:space="preserve"> zatem</w:t>
      </w:r>
      <w:r w:rsidR="00C306A0" w:rsidRPr="00AC25D7">
        <w:rPr>
          <w:rFonts w:asciiTheme="minorHAnsi" w:hAnsiTheme="minorHAnsi"/>
          <w:sz w:val="24"/>
          <w:szCs w:val="24"/>
        </w:rPr>
        <w:t xml:space="preserve"> </w:t>
      </w:r>
      <w:r w:rsidRPr="00AC25D7">
        <w:rPr>
          <w:rFonts w:asciiTheme="minorHAnsi" w:hAnsiTheme="minorHAnsi"/>
          <w:sz w:val="24"/>
          <w:szCs w:val="24"/>
        </w:rPr>
        <w:t xml:space="preserve">że w okresie przejściowym </w:t>
      </w:r>
      <w:r w:rsidR="00662CAD" w:rsidRPr="00AC25D7">
        <w:rPr>
          <w:rFonts w:asciiTheme="minorHAnsi" w:hAnsiTheme="minorHAnsi"/>
          <w:sz w:val="24"/>
          <w:szCs w:val="24"/>
        </w:rPr>
        <w:t xml:space="preserve">w procesie Przenoszenia Numeru powiązanego z Usługą Hurtową, </w:t>
      </w:r>
      <w:r w:rsidR="00194E75" w:rsidRPr="00AC25D7">
        <w:rPr>
          <w:rFonts w:asciiTheme="minorHAnsi" w:hAnsiTheme="minorHAnsi"/>
          <w:sz w:val="24"/>
          <w:szCs w:val="24"/>
        </w:rPr>
        <w:t xml:space="preserve">może wystąpić </w:t>
      </w:r>
      <w:r w:rsidRPr="00AC25D7">
        <w:rPr>
          <w:rFonts w:asciiTheme="minorHAnsi" w:hAnsiTheme="minorHAnsi"/>
          <w:sz w:val="24"/>
          <w:szCs w:val="24"/>
        </w:rPr>
        <w:t xml:space="preserve">ryzyko powstawania niespójności w procesach, które równolegle będą przebiegały w Systemie PLI CBD i systemach obsługi </w:t>
      </w:r>
      <w:r w:rsidR="00B27B1C" w:rsidRPr="00AC25D7">
        <w:rPr>
          <w:rFonts w:asciiTheme="minorHAnsi" w:hAnsiTheme="minorHAnsi"/>
          <w:sz w:val="24"/>
          <w:szCs w:val="24"/>
        </w:rPr>
        <w:t>procesu NP</w:t>
      </w:r>
      <w:r w:rsidRPr="00AC25D7">
        <w:rPr>
          <w:rFonts w:asciiTheme="minorHAnsi" w:hAnsiTheme="minorHAnsi"/>
          <w:sz w:val="24"/>
          <w:szCs w:val="24"/>
        </w:rPr>
        <w:t xml:space="preserve"> w OPL, jak również niespójności danych w Referencyjnej Centralnej Bazie Numerów Przeniesionych</w:t>
      </w:r>
      <w:r w:rsidR="00194E75" w:rsidRPr="00AC25D7">
        <w:rPr>
          <w:rFonts w:asciiTheme="minorHAnsi" w:hAnsiTheme="minorHAnsi"/>
          <w:sz w:val="24"/>
          <w:szCs w:val="24"/>
        </w:rPr>
        <w:t xml:space="preserve">. </w:t>
      </w:r>
      <w:r w:rsidR="004B2966" w:rsidRPr="00AC25D7">
        <w:rPr>
          <w:rFonts w:asciiTheme="minorHAnsi" w:hAnsiTheme="minorHAnsi"/>
          <w:sz w:val="24"/>
          <w:szCs w:val="24"/>
        </w:rPr>
        <w:t>W szczególności</w:t>
      </w:r>
      <w:r w:rsidR="00194E75" w:rsidRPr="00AC25D7">
        <w:rPr>
          <w:rFonts w:asciiTheme="minorHAnsi" w:hAnsiTheme="minorHAnsi"/>
          <w:sz w:val="24"/>
          <w:szCs w:val="24"/>
        </w:rPr>
        <w:t xml:space="preserve"> ryzyko wystąpi, gdy dojdzie do przerwania procesu </w:t>
      </w:r>
      <w:r w:rsidR="003362AA" w:rsidRPr="00AC25D7">
        <w:rPr>
          <w:rFonts w:asciiTheme="minorHAnsi" w:hAnsiTheme="minorHAnsi"/>
          <w:sz w:val="24"/>
          <w:szCs w:val="24"/>
        </w:rPr>
        <w:t>NP</w:t>
      </w:r>
      <w:r w:rsidR="00194E75" w:rsidRPr="00AC25D7">
        <w:rPr>
          <w:rFonts w:asciiTheme="minorHAnsi" w:hAnsiTheme="minorHAnsi"/>
          <w:sz w:val="24"/>
          <w:szCs w:val="24"/>
        </w:rPr>
        <w:t xml:space="preserve"> w S</w:t>
      </w:r>
      <w:r w:rsidR="00662CAD" w:rsidRPr="00AC25D7">
        <w:rPr>
          <w:rFonts w:asciiTheme="minorHAnsi" w:hAnsiTheme="minorHAnsi"/>
          <w:sz w:val="24"/>
          <w:szCs w:val="24"/>
        </w:rPr>
        <w:t>y</w:t>
      </w:r>
      <w:r w:rsidR="00194E75" w:rsidRPr="00AC25D7">
        <w:rPr>
          <w:rFonts w:asciiTheme="minorHAnsi" w:hAnsiTheme="minorHAnsi"/>
          <w:sz w:val="24"/>
          <w:szCs w:val="24"/>
        </w:rPr>
        <w:t>stemi</w:t>
      </w:r>
      <w:r w:rsidR="00662CAD" w:rsidRPr="00AC25D7">
        <w:rPr>
          <w:rFonts w:asciiTheme="minorHAnsi" w:hAnsiTheme="minorHAnsi"/>
          <w:sz w:val="24"/>
          <w:szCs w:val="24"/>
        </w:rPr>
        <w:t>e</w:t>
      </w:r>
      <w:r w:rsidR="00194E75" w:rsidRPr="00AC25D7">
        <w:rPr>
          <w:rFonts w:asciiTheme="minorHAnsi" w:hAnsiTheme="minorHAnsi"/>
          <w:sz w:val="24"/>
          <w:szCs w:val="24"/>
        </w:rPr>
        <w:t xml:space="preserve"> PLI CBD, a Usługa Hurtowa zostanie </w:t>
      </w:r>
      <w:r w:rsidR="00662CAD" w:rsidRPr="00AC25D7">
        <w:rPr>
          <w:rFonts w:asciiTheme="minorHAnsi" w:hAnsiTheme="minorHAnsi"/>
          <w:sz w:val="24"/>
          <w:szCs w:val="24"/>
        </w:rPr>
        <w:t xml:space="preserve">przez </w:t>
      </w:r>
      <w:r w:rsidR="0074566B">
        <w:rPr>
          <w:rFonts w:asciiTheme="minorHAnsi" w:hAnsiTheme="minorHAnsi"/>
          <w:sz w:val="24"/>
          <w:szCs w:val="24"/>
        </w:rPr>
        <w:t>O</w:t>
      </w:r>
      <w:r w:rsidR="00662CAD" w:rsidRPr="00AC25D7">
        <w:rPr>
          <w:rFonts w:asciiTheme="minorHAnsi" w:hAnsiTheme="minorHAnsi"/>
          <w:sz w:val="24"/>
          <w:szCs w:val="24"/>
        </w:rPr>
        <w:t xml:space="preserve">peratora Infrastrukturalnego </w:t>
      </w:r>
      <w:r w:rsidR="00194E75" w:rsidRPr="00AC25D7">
        <w:rPr>
          <w:rFonts w:asciiTheme="minorHAnsi" w:hAnsiTheme="minorHAnsi"/>
          <w:sz w:val="24"/>
          <w:szCs w:val="24"/>
        </w:rPr>
        <w:t xml:space="preserve">zrealizowana. Współpracy międzyoperatorskiej będzie wymagało również pozyskanie od Operatora Infrastrukturalnego Numeru </w:t>
      </w:r>
      <w:proofErr w:type="spellStart"/>
      <w:r w:rsidR="00194E75" w:rsidRPr="003D1637">
        <w:rPr>
          <w:rFonts w:asciiTheme="minorHAnsi" w:hAnsiTheme="minorHAnsi"/>
          <w:sz w:val="24"/>
          <w:szCs w:val="24"/>
        </w:rPr>
        <w:t>Rutingowego</w:t>
      </w:r>
      <w:proofErr w:type="spellEnd"/>
      <w:r w:rsidR="00194E75" w:rsidRPr="003D1637">
        <w:rPr>
          <w:rFonts w:asciiTheme="minorHAnsi" w:hAnsiTheme="minorHAnsi"/>
          <w:sz w:val="24"/>
          <w:szCs w:val="24"/>
        </w:rPr>
        <w:t xml:space="preserve"> na potrzeby </w:t>
      </w:r>
      <w:r w:rsidR="00F30321" w:rsidRPr="003D1637">
        <w:rPr>
          <w:rFonts w:asciiTheme="minorHAnsi" w:hAnsiTheme="minorHAnsi"/>
          <w:sz w:val="24"/>
          <w:szCs w:val="24"/>
        </w:rPr>
        <w:t xml:space="preserve">realizacji procesu </w:t>
      </w:r>
      <w:r w:rsidR="00194E75" w:rsidRPr="003D1637">
        <w:rPr>
          <w:rFonts w:asciiTheme="minorHAnsi" w:hAnsiTheme="minorHAnsi"/>
          <w:sz w:val="24"/>
          <w:szCs w:val="24"/>
        </w:rPr>
        <w:t>Przen</w:t>
      </w:r>
      <w:r w:rsidR="00F30321" w:rsidRPr="003D1637">
        <w:rPr>
          <w:rFonts w:asciiTheme="minorHAnsi" w:hAnsiTheme="minorHAnsi"/>
          <w:sz w:val="24"/>
          <w:szCs w:val="24"/>
        </w:rPr>
        <w:t xml:space="preserve">iesienia </w:t>
      </w:r>
      <w:r w:rsidR="00194E75" w:rsidRPr="003D1637">
        <w:rPr>
          <w:rFonts w:asciiTheme="minorHAnsi" w:hAnsiTheme="minorHAnsi"/>
          <w:sz w:val="24"/>
          <w:szCs w:val="24"/>
        </w:rPr>
        <w:t>Numeru w powiązaniu z Usługami Hurtowymi</w:t>
      </w:r>
      <w:r w:rsidR="00F30321" w:rsidRPr="003D1637">
        <w:rPr>
          <w:rFonts w:asciiTheme="minorHAnsi" w:hAnsiTheme="minorHAnsi"/>
          <w:sz w:val="24"/>
          <w:szCs w:val="24"/>
        </w:rPr>
        <w:t xml:space="preserve"> w Systemie PLI CBD</w:t>
      </w:r>
      <w:r w:rsidR="0074566B" w:rsidRPr="003D1637">
        <w:rPr>
          <w:rFonts w:asciiTheme="minorHAnsi" w:hAnsiTheme="minorHAnsi"/>
          <w:sz w:val="24"/>
          <w:szCs w:val="24"/>
        </w:rPr>
        <w:t xml:space="preserve">, w przypadku gdy przenoszony Numer </w:t>
      </w:r>
      <w:r w:rsidR="003D1637" w:rsidRPr="00F4167F">
        <w:rPr>
          <w:rFonts w:asciiTheme="minorHAnsi" w:hAnsiTheme="minorHAnsi"/>
          <w:sz w:val="24"/>
          <w:szCs w:val="24"/>
        </w:rPr>
        <w:t>ten nie należy do zakresu numeracji przydzielonego przez UKE Operatorowi Infrastrukturalnemu lub udostępnionego Operatorowi Infrastrukturalnemu przez innego PT</w:t>
      </w:r>
      <w:r w:rsidR="003D1637">
        <w:rPr>
          <w:rFonts w:asciiTheme="minorHAnsi" w:hAnsiTheme="minorHAnsi"/>
          <w:sz w:val="24"/>
          <w:szCs w:val="24"/>
        </w:rPr>
        <w:t>.</w:t>
      </w:r>
    </w:p>
    <w:p w:rsidR="00C306A0" w:rsidRPr="00AC25D7" w:rsidRDefault="00C306A0" w:rsidP="004C0824">
      <w:pPr>
        <w:tabs>
          <w:tab w:val="left" w:pos="284"/>
        </w:tabs>
        <w:spacing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2D0ED5">
        <w:rPr>
          <w:rFonts w:asciiTheme="minorHAnsi" w:hAnsiTheme="minorHAnsi"/>
          <w:sz w:val="24"/>
          <w:szCs w:val="24"/>
        </w:rPr>
        <w:t xml:space="preserve">Jednocześnie </w:t>
      </w:r>
      <w:r w:rsidR="001D05B5" w:rsidRPr="002D0ED5">
        <w:rPr>
          <w:rFonts w:asciiTheme="minorHAnsi" w:hAnsiTheme="minorHAnsi"/>
          <w:sz w:val="24"/>
          <w:szCs w:val="24"/>
        </w:rPr>
        <w:t xml:space="preserve">wykazywana tendencja spadkowa </w:t>
      </w:r>
      <w:r w:rsidRPr="002D0ED5">
        <w:rPr>
          <w:rFonts w:asciiTheme="minorHAnsi" w:hAnsiTheme="minorHAnsi"/>
          <w:sz w:val="24"/>
          <w:szCs w:val="24"/>
        </w:rPr>
        <w:t xml:space="preserve">ilości </w:t>
      </w:r>
      <w:r w:rsidR="00FB3C74" w:rsidRPr="002D0ED5">
        <w:rPr>
          <w:rFonts w:asciiTheme="minorHAnsi" w:hAnsiTheme="minorHAnsi"/>
          <w:sz w:val="24"/>
          <w:szCs w:val="24"/>
        </w:rPr>
        <w:t xml:space="preserve">przyłączy </w:t>
      </w:r>
      <w:r w:rsidRPr="002D0ED5">
        <w:rPr>
          <w:rFonts w:asciiTheme="minorHAnsi" w:hAnsiTheme="minorHAnsi"/>
          <w:sz w:val="24"/>
          <w:szCs w:val="24"/>
        </w:rPr>
        <w:t>głosowych</w:t>
      </w:r>
      <w:r w:rsidR="00C764B1" w:rsidRPr="002D0ED5">
        <w:rPr>
          <w:rFonts w:asciiTheme="minorHAnsi" w:hAnsiTheme="minorHAnsi"/>
          <w:sz w:val="24"/>
          <w:szCs w:val="24"/>
        </w:rPr>
        <w:t>,</w:t>
      </w:r>
      <w:r w:rsidRPr="002D0ED5">
        <w:rPr>
          <w:rFonts w:asciiTheme="minorHAnsi" w:hAnsiTheme="minorHAnsi"/>
          <w:sz w:val="24"/>
          <w:szCs w:val="24"/>
        </w:rPr>
        <w:t xml:space="preserve"> jak i samej sprzedaży głosowych Usług</w:t>
      </w:r>
      <w:r>
        <w:rPr>
          <w:rFonts w:asciiTheme="minorHAnsi" w:hAnsiTheme="minorHAnsi"/>
          <w:sz w:val="24"/>
          <w:szCs w:val="24"/>
        </w:rPr>
        <w:t xml:space="preserve"> Hurtowych</w:t>
      </w:r>
      <w:r w:rsidR="00FB3C74">
        <w:rPr>
          <w:rFonts w:asciiTheme="minorHAnsi" w:hAnsiTheme="minorHAnsi"/>
          <w:sz w:val="24"/>
          <w:szCs w:val="24"/>
        </w:rPr>
        <w:t xml:space="preserve"> na rynku stacjonarnym, </w:t>
      </w:r>
      <w:r w:rsidR="001D05B5">
        <w:rPr>
          <w:rFonts w:asciiTheme="minorHAnsi" w:hAnsiTheme="minorHAnsi"/>
          <w:sz w:val="24"/>
          <w:szCs w:val="24"/>
        </w:rPr>
        <w:t>skłania Wykonawcę do</w:t>
      </w:r>
      <w:r w:rsidR="00774B33">
        <w:rPr>
          <w:rFonts w:asciiTheme="minorHAnsi" w:hAnsiTheme="minorHAnsi"/>
          <w:sz w:val="24"/>
          <w:szCs w:val="24"/>
        </w:rPr>
        <w:t xml:space="preserve"> stwierdzenia że pomimo wielu wad tego rozwiązania będzie ono </w:t>
      </w:r>
      <w:r w:rsidR="002D0ED5">
        <w:rPr>
          <w:rFonts w:asciiTheme="minorHAnsi" w:hAnsiTheme="minorHAnsi"/>
          <w:sz w:val="24"/>
          <w:szCs w:val="24"/>
        </w:rPr>
        <w:t xml:space="preserve">niewątpliwe korzystniejsze </w:t>
      </w:r>
      <w:r w:rsidR="00774B33">
        <w:rPr>
          <w:rFonts w:asciiTheme="minorHAnsi" w:hAnsiTheme="minorHAnsi"/>
          <w:sz w:val="24"/>
          <w:szCs w:val="24"/>
        </w:rPr>
        <w:t xml:space="preserve"> niż działające obecnie rozwiązanie </w:t>
      </w:r>
      <w:r w:rsidR="002D0ED5">
        <w:rPr>
          <w:rFonts w:asciiTheme="minorHAnsi" w:hAnsiTheme="minorHAnsi"/>
          <w:sz w:val="24"/>
          <w:szCs w:val="24"/>
        </w:rPr>
        <w:t>polegające na komunikacji e-mail.</w:t>
      </w:r>
    </w:p>
    <w:p w:rsidR="00F21C4A" w:rsidRPr="00AC25D7" w:rsidRDefault="00F21C4A" w:rsidP="00F66338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B16E2" w:rsidRPr="00AC25D7" w:rsidRDefault="003B16E2" w:rsidP="007E2FEE">
      <w:pPr>
        <w:spacing w:line="276" w:lineRule="auto"/>
        <w:ind w:left="851"/>
        <w:rPr>
          <w:rFonts w:asciiTheme="minorHAnsi" w:hAnsiTheme="minorHAnsi" w:cs="Arial"/>
          <w:b/>
          <w:color w:val="FF0000"/>
          <w:sz w:val="24"/>
          <w:szCs w:val="24"/>
        </w:rPr>
      </w:pPr>
    </w:p>
    <w:sectPr w:rsidR="003B16E2" w:rsidRPr="00AC25D7" w:rsidSect="008B2FC9">
      <w:headerReference w:type="default" r:id="rId22"/>
      <w:footerReference w:type="default" r:id="rId23"/>
      <w:headerReference w:type="first" r:id="rId24"/>
      <w:pgSz w:w="11906" w:h="16838"/>
      <w:pgMar w:top="1665" w:right="1417" w:bottom="1843" w:left="1417" w:header="708" w:footer="11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782AF" w15:done="0"/>
  <w15:commentEx w15:paraId="39CD5FFF" w15:done="0"/>
  <w15:commentEx w15:paraId="16E88D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69" w:rsidRDefault="002C1469" w:rsidP="0091114C">
      <w:pPr>
        <w:spacing w:line="240" w:lineRule="auto"/>
      </w:pPr>
      <w:r>
        <w:separator/>
      </w:r>
    </w:p>
  </w:endnote>
  <w:endnote w:type="continuationSeparator" w:id="0">
    <w:p w:rsidR="002C1469" w:rsidRDefault="002C1469" w:rsidP="0091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24" w:rsidRDefault="004C0824" w:rsidP="0091114C">
    <w:pPr>
      <w:pStyle w:val="Stopka"/>
      <w:tabs>
        <w:tab w:val="left" w:pos="4185"/>
        <w:tab w:val="center" w:pos="4896"/>
      </w:tabs>
      <w:ind w:left="0"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-49530</wp:posOffset>
          </wp:positionV>
          <wp:extent cx="1438275" cy="552450"/>
          <wp:effectExtent l="0" t="0" r="9525" b="6350"/>
          <wp:wrapNone/>
          <wp:docPr id="12" name="Obraz 12" descr="Qumak_RGB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umak_RGB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-22860</wp:posOffset>
          </wp:positionV>
          <wp:extent cx="873760" cy="563245"/>
          <wp:effectExtent l="0" t="0" r="0" b="0"/>
          <wp:wrapSquare wrapText="bothSides"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F46" w:rsidRPr="00CF5F46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25pt;margin-top:-9.85pt;width:432.45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" strokecolor="#243f60" strokeweight="1pt"/>
      </w:pict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36830</wp:posOffset>
          </wp:positionV>
          <wp:extent cx="6657975" cy="952500"/>
          <wp:effectExtent l="0" t="0" r="0" b="12700"/>
          <wp:wrapNone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F4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F5F46">
      <w:rPr>
        <w:rStyle w:val="Numerstrony"/>
      </w:rPr>
      <w:fldChar w:fldCharType="separate"/>
    </w:r>
    <w:r w:rsidR="00612D3A">
      <w:rPr>
        <w:rStyle w:val="Numerstrony"/>
        <w:noProof/>
      </w:rPr>
      <w:t>2</w:t>
    </w:r>
    <w:r w:rsidR="00CF5F46">
      <w:rPr>
        <w:rStyle w:val="Numerstrony"/>
      </w:rPr>
      <w:fldChar w:fldCharType="end"/>
    </w:r>
    <w:r>
      <w:rPr>
        <w:rStyle w:val="Numerstrony"/>
      </w:rPr>
      <w:t>/</w:t>
    </w:r>
    <w:r w:rsidR="00CF5F4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F5F46">
      <w:rPr>
        <w:rStyle w:val="Numerstrony"/>
      </w:rPr>
      <w:fldChar w:fldCharType="separate"/>
    </w:r>
    <w:r w:rsidR="00612D3A">
      <w:rPr>
        <w:rStyle w:val="Numerstrony"/>
        <w:noProof/>
      </w:rPr>
      <w:t>20</w:t>
    </w:r>
    <w:r w:rsidR="00CF5F46">
      <w:rPr>
        <w:rStyle w:val="Numerstrony"/>
      </w:rPr>
      <w:fldChar w:fldCharType="end"/>
    </w:r>
  </w:p>
  <w:p w:rsidR="004C0824" w:rsidRDefault="004C08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1014730</wp:posOffset>
          </wp:positionH>
          <wp:positionV relativeFrom="margin">
            <wp:posOffset>9930130</wp:posOffset>
          </wp:positionV>
          <wp:extent cx="1000760" cy="409575"/>
          <wp:effectExtent l="0" t="0" r="0" b="0"/>
          <wp:wrapSquare wrapText="bothSides"/>
          <wp:docPr id="8" name="Obraz 8" descr="papier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ierX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1014730</wp:posOffset>
          </wp:positionH>
          <wp:positionV relativeFrom="margin">
            <wp:posOffset>9930130</wp:posOffset>
          </wp:positionV>
          <wp:extent cx="1000760" cy="409575"/>
          <wp:effectExtent l="0" t="0" r="0" b="0"/>
          <wp:wrapSquare wrapText="bothSides"/>
          <wp:docPr id="7" name="Obraz 1" descr="papier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X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69" w:rsidRDefault="002C1469" w:rsidP="0091114C">
      <w:pPr>
        <w:spacing w:line="240" w:lineRule="auto"/>
      </w:pPr>
      <w:r>
        <w:separator/>
      </w:r>
    </w:p>
  </w:footnote>
  <w:footnote w:type="continuationSeparator" w:id="0">
    <w:p w:rsidR="002C1469" w:rsidRDefault="002C1469" w:rsidP="0091114C">
      <w:pPr>
        <w:spacing w:line="240" w:lineRule="auto"/>
      </w:pPr>
      <w:r>
        <w:continuationSeparator/>
      </w:r>
    </w:p>
  </w:footnote>
  <w:footnote w:id="1">
    <w:p w:rsidR="004C0824" w:rsidRDefault="004C0824" w:rsidP="00282586">
      <w:pPr>
        <w:pStyle w:val="Tekstprzypisudolnego"/>
        <w:keepLines/>
      </w:pPr>
      <w:r>
        <w:rPr>
          <w:rStyle w:val="Odwoanieprzypisudolnego"/>
        </w:rPr>
        <w:footnoteRef/>
      </w:r>
      <w:r>
        <w:t xml:space="preserve"> </w:t>
      </w:r>
      <w:r w:rsidRPr="009D7E0D">
        <w:rPr>
          <w:rFonts w:asciiTheme="minorHAnsi" w:hAnsiTheme="minorHAnsi"/>
        </w:rPr>
        <w:t xml:space="preserve">W okresie stabilizacji systemu PLICBD i włączenia weryfikacji przynależności Numeru w </w:t>
      </w:r>
      <w:r>
        <w:rPr>
          <w:rFonts w:asciiTheme="minorHAnsi" w:hAnsiTheme="minorHAnsi"/>
        </w:rPr>
        <w:t xml:space="preserve">Systemie </w:t>
      </w:r>
      <w:r w:rsidRPr="009D7E0D">
        <w:rPr>
          <w:rFonts w:asciiTheme="minorHAnsi" w:hAnsiTheme="minorHAnsi"/>
        </w:rPr>
        <w:t>PLI</w:t>
      </w:r>
      <w:r>
        <w:rPr>
          <w:rFonts w:asciiTheme="minorHAnsi" w:hAnsiTheme="minorHAnsi"/>
        </w:rPr>
        <w:t xml:space="preserve"> </w:t>
      </w:r>
      <w:r w:rsidRPr="009D7E0D">
        <w:rPr>
          <w:rFonts w:asciiTheme="minorHAnsi" w:hAnsiTheme="minorHAnsi"/>
        </w:rPr>
        <w:t>CBD Dawca musi wskazywać Dostawcę Usług</w:t>
      </w:r>
      <w:r>
        <w:rPr>
          <w:rFonts w:asciiTheme="minorHAnsi" w:hAnsiTheme="minorHAnsi"/>
        </w:rPr>
        <w:t>,</w:t>
      </w:r>
      <w:r w:rsidRPr="009D7E0D">
        <w:rPr>
          <w:rFonts w:asciiTheme="minorHAnsi" w:hAnsiTheme="minorHAnsi"/>
        </w:rPr>
        <w:t xml:space="preserve"> któremu zwraca Numer.</w:t>
      </w:r>
    </w:p>
  </w:footnote>
  <w:footnote w:id="2">
    <w:p w:rsidR="004C0824" w:rsidRDefault="004C0824" w:rsidP="00E652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1E76">
        <w:rPr>
          <w:rFonts w:asciiTheme="minorHAnsi" w:hAnsiTheme="minorHAnsi"/>
        </w:rPr>
        <w:t xml:space="preserve">Numer </w:t>
      </w:r>
      <w:proofErr w:type="spellStart"/>
      <w:r w:rsidRPr="005A1E76">
        <w:rPr>
          <w:rFonts w:asciiTheme="minorHAnsi" w:hAnsiTheme="minorHAnsi"/>
        </w:rPr>
        <w:t>Rutingowy</w:t>
      </w:r>
      <w:proofErr w:type="spellEnd"/>
      <w:r w:rsidRPr="005A1E76">
        <w:rPr>
          <w:rFonts w:asciiTheme="minorHAnsi" w:hAnsiTheme="minorHAnsi"/>
        </w:rPr>
        <w:t xml:space="preserve"> jest obowiązkow</w:t>
      </w:r>
      <w:r>
        <w:rPr>
          <w:rFonts w:asciiTheme="minorHAnsi" w:hAnsiTheme="minorHAnsi"/>
        </w:rPr>
        <w:t xml:space="preserve">y </w:t>
      </w:r>
      <w:r w:rsidRPr="005A1E76">
        <w:rPr>
          <w:rFonts w:asciiTheme="minorHAnsi" w:hAnsiTheme="minorHAnsi"/>
        </w:rPr>
        <w:t>jeżeli Operator Infrastrukturalny</w:t>
      </w:r>
      <w:r>
        <w:rPr>
          <w:rFonts w:asciiTheme="minorHAnsi" w:hAnsiTheme="minorHAnsi"/>
        </w:rPr>
        <w:t xml:space="preserve"> realizuje na </w:t>
      </w:r>
      <w:r w:rsidRPr="00771ACD">
        <w:rPr>
          <w:rFonts w:asciiTheme="minorHAnsi" w:hAnsiTheme="minorHAnsi"/>
        </w:rPr>
        <w:t xml:space="preserve">danym Numerze </w:t>
      </w:r>
      <w:r>
        <w:rPr>
          <w:rFonts w:asciiTheme="minorHAnsi" w:hAnsiTheme="minorHAnsi"/>
        </w:rPr>
        <w:t>zamówienie na U</w:t>
      </w:r>
      <w:r w:rsidRPr="00771ACD">
        <w:rPr>
          <w:rFonts w:asciiTheme="minorHAnsi" w:hAnsiTheme="minorHAnsi"/>
        </w:rPr>
        <w:t>sługę</w:t>
      </w:r>
      <w:r>
        <w:rPr>
          <w:rFonts w:asciiTheme="minorHAnsi" w:hAnsiTheme="minorHAnsi"/>
        </w:rPr>
        <w:t xml:space="preserve"> Hurtową</w:t>
      </w:r>
      <w:r w:rsidRPr="00771ACD">
        <w:rPr>
          <w:rFonts w:asciiTheme="minorHAnsi" w:hAnsiTheme="minorHAnsi"/>
        </w:rPr>
        <w:t xml:space="preserve"> WLR</w:t>
      </w:r>
      <w:r w:rsidRPr="005A1E76">
        <w:rPr>
          <w:rFonts w:asciiTheme="minorHAnsi" w:hAnsiTheme="minorHAnsi"/>
        </w:rPr>
        <w:t>, a Numer ten nie należy do zakresu numeracji przydzielonego przez UKE Operatorowi Infrastrukturalnemu lub udostępnionego Operatorowi Infrastrukturalnemu przez innego PT</w:t>
      </w:r>
    </w:p>
  </w:footnote>
  <w:footnote w:id="3">
    <w:p w:rsidR="004C0824" w:rsidRDefault="004C0824" w:rsidP="00E652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1E76">
        <w:rPr>
          <w:rFonts w:asciiTheme="minorHAnsi" w:hAnsiTheme="minorHAnsi"/>
        </w:rPr>
        <w:t xml:space="preserve">Numer </w:t>
      </w:r>
      <w:proofErr w:type="spellStart"/>
      <w:r w:rsidRPr="005A1E76">
        <w:rPr>
          <w:rFonts w:asciiTheme="minorHAnsi" w:hAnsiTheme="minorHAnsi"/>
        </w:rPr>
        <w:t>Rutingowy</w:t>
      </w:r>
      <w:proofErr w:type="spellEnd"/>
      <w:r w:rsidRPr="005A1E76">
        <w:rPr>
          <w:rFonts w:asciiTheme="minorHAnsi" w:hAnsiTheme="minorHAnsi"/>
        </w:rPr>
        <w:t xml:space="preserve"> jest obowiązkow</w:t>
      </w:r>
      <w:r>
        <w:rPr>
          <w:rFonts w:asciiTheme="minorHAnsi" w:hAnsiTheme="minorHAnsi"/>
        </w:rPr>
        <w:t xml:space="preserve">y </w:t>
      </w:r>
      <w:r w:rsidRPr="005A1E76">
        <w:rPr>
          <w:rFonts w:asciiTheme="minorHAnsi" w:hAnsiTheme="minorHAnsi"/>
        </w:rPr>
        <w:t>jeżeli Operator Infrastrukturalny</w:t>
      </w:r>
      <w:r>
        <w:rPr>
          <w:rFonts w:asciiTheme="minorHAnsi" w:hAnsiTheme="minorHAnsi"/>
        </w:rPr>
        <w:t xml:space="preserve"> realizuje na </w:t>
      </w:r>
      <w:r w:rsidRPr="00771ACD">
        <w:rPr>
          <w:rFonts w:asciiTheme="minorHAnsi" w:hAnsiTheme="minorHAnsi"/>
        </w:rPr>
        <w:t xml:space="preserve">danym Numerze </w:t>
      </w:r>
      <w:r>
        <w:rPr>
          <w:rFonts w:asciiTheme="minorHAnsi" w:hAnsiTheme="minorHAnsi"/>
        </w:rPr>
        <w:t>zamówienie na U</w:t>
      </w:r>
      <w:r w:rsidRPr="00771ACD">
        <w:rPr>
          <w:rFonts w:asciiTheme="minorHAnsi" w:hAnsiTheme="minorHAnsi"/>
        </w:rPr>
        <w:t>sługę</w:t>
      </w:r>
      <w:r>
        <w:rPr>
          <w:rFonts w:asciiTheme="minorHAnsi" w:hAnsiTheme="minorHAnsi"/>
        </w:rPr>
        <w:t xml:space="preserve"> Hurtową</w:t>
      </w:r>
      <w:r w:rsidRPr="00771ACD">
        <w:rPr>
          <w:rFonts w:asciiTheme="minorHAnsi" w:hAnsiTheme="minorHAnsi"/>
        </w:rPr>
        <w:t xml:space="preserve"> WLR</w:t>
      </w:r>
      <w:r w:rsidRPr="005A1E76">
        <w:rPr>
          <w:rFonts w:asciiTheme="minorHAnsi" w:hAnsiTheme="minorHAnsi"/>
        </w:rPr>
        <w:t>, a Numer ten nie należy do zakresu numeracji przydzielonego przez UKE Operatorowi Infrastrukturalnemu lub udostępnionego Operatorowi Infrastrukturalnemu przez innego PT</w:t>
      </w:r>
    </w:p>
  </w:footnote>
  <w:footnote w:id="4">
    <w:p w:rsidR="004C0824" w:rsidRDefault="004C0824" w:rsidP="00E65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E76">
        <w:rPr>
          <w:rFonts w:asciiTheme="minorHAnsi" w:hAnsiTheme="minorHAnsi"/>
        </w:rPr>
        <w:t xml:space="preserve">Numer </w:t>
      </w:r>
      <w:proofErr w:type="spellStart"/>
      <w:r w:rsidRPr="005A1E76">
        <w:rPr>
          <w:rFonts w:asciiTheme="minorHAnsi" w:hAnsiTheme="minorHAnsi"/>
        </w:rPr>
        <w:t>Rutingowy</w:t>
      </w:r>
      <w:proofErr w:type="spellEnd"/>
      <w:r w:rsidRPr="005A1E76">
        <w:rPr>
          <w:rFonts w:asciiTheme="minorHAnsi" w:hAnsiTheme="minorHAnsi"/>
        </w:rPr>
        <w:t xml:space="preserve"> jest obowiązkow</w:t>
      </w:r>
      <w:r>
        <w:rPr>
          <w:rFonts w:asciiTheme="minorHAnsi" w:hAnsiTheme="minorHAnsi"/>
        </w:rPr>
        <w:t xml:space="preserve">y </w:t>
      </w:r>
      <w:r w:rsidRPr="005A1E76">
        <w:rPr>
          <w:rFonts w:asciiTheme="minorHAnsi" w:hAnsiTheme="minorHAnsi"/>
        </w:rPr>
        <w:t>jeżeli Operator Infrastrukturalny</w:t>
      </w:r>
      <w:r>
        <w:rPr>
          <w:rFonts w:asciiTheme="minorHAnsi" w:hAnsiTheme="minorHAnsi"/>
        </w:rPr>
        <w:t xml:space="preserve"> realizuje na </w:t>
      </w:r>
      <w:r w:rsidRPr="00771ACD">
        <w:rPr>
          <w:rFonts w:asciiTheme="minorHAnsi" w:hAnsiTheme="minorHAnsi"/>
        </w:rPr>
        <w:t xml:space="preserve">danym Numerze </w:t>
      </w:r>
      <w:r>
        <w:rPr>
          <w:rFonts w:asciiTheme="minorHAnsi" w:hAnsiTheme="minorHAnsi"/>
        </w:rPr>
        <w:t>zamówienie na U</w:t>
      </w:r>
      <w:r w:rsidRPr="00771ACD">
        <w:rPr>
          <w:rFonts w:asciiTheme="minorHAnsi" w:hAnsiTheme="minorHAnsi"/>
        </w:rPr>
        <w:t>sługę</w:t>
      </w:r>
      <w:r>
        <w:rPr>
          <w:rFonts w:asciiTheme="minorHAnsi" w:hAnsiTheme="minorHAnsi"/>
        </w:rPr>
        <w:t xml:space="preserve"> Hurtową</w:t>
      </w:r>
      <w:r w:rsidRPr="00771ACD">
        <w:rPr>
          <w:rFonts w:asciiTheme="minorHAnsi" w:hAnsiTheme="minorHAnsi"/>
        </w:rPr>
        <w:t xml:space="preserve"> WLR</w:t>
      </w:r>
      <w:r w:rsidRPr="005A1E76">
        <w:rPr>
          <w:rFonts w:asciiTheme="minorHAnsi" w:hAnsiTheme="minorHAnsi"/>
        </w:rPr>
        <w:t>, a Numer ten nie należy do zakresu numeracji przydzielonego przez UKE Operatorowi Infrastrukturalnemu lub udostępnionego Operatorowi Infrastrukturalnemu przez innego PT</w:t>
      </w:r>
    </w:p>
  </w:footnote>
  <w:footnote w:id="5">
    <w:p w:rsidR="004C0824" w:rsidRDefault="004C08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W przypadku zakresu Numerów konieczne będzie wysłanie odpowiedniej liczny komunikatów E14 (komunikat E14 dotyczy pojedynczego Numeru).</w:t>
      </w:r>
    </w:p>
  </w:footnote>
  <w:footnote w:id="6">
    <w:p w:rsidR="004C0824" w:rsidRDefault="004C0824" w:rsidP="00E34FD9">
      <w:pPr>
        <w:pStyle w:val="Tekstprzypisudolnego"/>
        <w:keepLines/>
      </w:pPr>
      <w:r>
        <w:rPr>
          <w:rStyle w:val="Odwoanieprzypisudolnego"/>
        </w:rPr>
        <w:footnoteRef/>
      </w:r>
      <w:r>
        <w:t xml:space="preserve"> </w:t>
      </w:r>
      <w:r w:rsidRPr="009D7E0D">
        <w:rPr>
          <w:rFonts w:asciiTheme="minorHAnsi" w:hAnsiTheme="minorHAnsi"/>
        </w:rPr>
        <w:t xml:space="preserve">W okresie stabilizacji systemu PLICBD i włączenia weryfikacji przynależności Numeru w </w:t>
      </w:r>
      <w:r>
        <w:rPr>
          <w:rFonts w:asciiTheme="minorHAnsi" w:hAnsiTheme="minorHAnsi"/>
        </w:rPr>
        <w:t xml:space="preserve">Systemie </w:t>
      </w:r>
      <w:r w:rsidRPr="009D7E0D">
        <w:rPr>
          <w:rFonts w:asciiTheme="minorHAnsi" w:hAnsiTheme="minorHAnsi"/>
        </w:rPr>
        <w:t>PLI</w:t>
      </w:r>
      <w:r>
        <w:rPr>
          <w:rFonts w:asciiTheme="minorHAnsi" w:hAnsiTheme="minorHAnsi"/>
        </w:rPr>
        <w:t xml:space="preserve"> </w:t>
      </w:r>
      <w:r w:rsidRPr="009D7E0D">
        <w:rPr>
          <w:rFonts w:asciiTheme="minorHAnsi" w:hAnsiTheme="minorHAnsi"/>
        </w:rPr>
        <w:t>CBD Dawca musi wskazywać Dostawcę Usług</w:t>
      </w:r>
      <w:r>
        <w:rPr>
          <w:rFonts w:asciiTheme="minorHAnsi" w:hAnsiTheme="minorHAnsi"/>
        </w:rPr>
        <w:t>,</w:t>
      </w:r>
      <w:r w:rsidRPr="009D7E0D">
        <w:rPr>
          <w:rFonts w:asciiTheme="minorHAnsi" w:hAnsiTheme="minorHAnsi"/>
        </w:rPr>
        <w:t xml:space="preserve"> któremu zwraca Numer.</w:t>
      </w:r>
    </w:p>
  </w:footnote>
  <w:footnote w:id="7">
    <w:p w:rsidR="004C0824" w:rsidRPr="00543E11" w:rsidRDefault="004C0824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W przypadku zakresu Numerów konieczne będzie wysłanie odpowiedniej liczny komunikatów E14 (komunikat E14 dotyczy pojedynczego Numeru).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24" w:rsidRDefault="00CF5F46" w:rsidP="0091114C">
    <w:pPr>
      <w:pStyle w:val="Nagwek"/>
      <w:ind w:left="0" w:hanging="16"/>
    </w:pPr>
    <w:r w:rsidRPr="00CF5F46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0;margin-top:44.45pt;width:432.4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" strokecolor="#243f60" strokeweight="1pt"/>
      </w:pict>
    </w:r>
    <w:r w:rsidR="004C0824">
      <w:rPr>
        <w:noProof/>
        <w:lang w:eastAsia="pl-PL"/>
      </w:rPr>
      <w:drawing>
        <wp:inline distT="0" distB="0" distL="0" distR="0">
          <wp:extent cx="5549900" cy="533400"/>
          <wp:effectExtent l="0" t="0" r="12700" b="0"/>
          <wp:docPr id="1" name="Obraz 1" descr="stopk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824" w:rsidRDefault="004C08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87"/>
      <w:gridCol w:w="1790"/>
      <w:gridCol w:w="2931"/>
      <w:gridCol w:w="2362"/>
    </w:tblGrid>
    <w:tr w:rsidR="004C0824" w:rsidTr="001A4AC0">
      <w:trPr>
        <w:trHeight w:val="158"/>
      </w:trPr>
      <w:tc>
        <w:tcPr>
          <w:tcW w:w="2287" w:type="dxa"/>
          <w:vAlign w:val="center"/>
        </w:tcPr>
        <w:p w:rsidR="004C0824" w:rsidRPr="005B3529" w:rsidRDefault="004C0824" w:rsidP="00CC58B9">
          <w:pPr>
            <w:pStyle w:val="Nagwek"/>
            <w:ind w:left="-142" w:firstLine="0"/>
            <w:jc w:val="center"/>
            <w:rPr>
              <w:rFonts w:cs="Arial"/>
            </w:rPr>
          </w:pPr>
          <w:r w:rsidRPr="002C3B0B">
            <w:rPr>
              <w:rFonts w:cs="Arial"/>
            </w:rPr>
            <w:t>Urząd Komunikacji Elektronicznej</w:t>
          </w:r>
        </w:p>
      </w:tc>
      <w:tc>
        <w:tcPr>
          <w:tcW w:w="1790" w:type="dxa"/>
          <w:vAlign w:val="center"/>
        </w:tcPr>
        <w:p w:rsidR="004C0824" w:rsidRPr="005B3529" w:rsidRDefault="004C0824" w:rsidP="00CC58B9">
          <w:pPr>
            <w:pStyle w:val="Nagwek"/>
            <w:ind w:left="0" w:firstLine="0"/>
            <w:jc w:val="center"/>
            <w:rPr>
              <w:rFonts w:cs="Arial"/>
              <w:b/>
            </w:rPr>
          </w:pPr>
          <w:r w:rsidRPr="002C3B0B">
            <w:rPr>
              <w:rFonts w:cs="Arial"/>
              <w:b/>
            </w:rPr>
            <w:t>Projekt PLI CBD2</w:t>
          </w:r>
        </w:p>
      </w:tc>
      <w:tc>
        <w:tcPr>
          <w:tcW w:w="2931" w:type="dxa"/>
          <w:vAlign w:val="center"/>
        </w:tcPr>
        <w:p w:rsidR="004C0824" w:rsidRPr="005B3529" w:rsidRDefault="004C0824" w:rsidP="00DA130D">
          <w:pPr>
            <w:pStyle w:val="Nagwek"/>
            <w:ind w:left="108" w:right="-72" w:firstLine="0"/>
            <w:jc w:val="center"/>
            <w:rPr>
              <w:rFonts w:cs="Arial"/>
            </w:rPr>
          </w:pPr>
          <w:r w:rsidRPr="002C3B0B">
            <w:rPr>
              <w:rFonts w:cs="Arial"/>
            </w:rPr>
            <w:t>Data utworzenia dok.:</w:t>
          </w:r>
        </w:p>
        <w:p w:rsidR="004C0824" w:rsidRPr="005B3529" w:rsidRDefault="004C0824" w:rsidP="00AD4A74">
          <w:pPr>
            <w:pStyle w:val="Nagwek"/>
            <w:ind w:left="0" w:firstLine="0"/>
            <w:jc w:val="center"/>
            <w:rPr>
              <w:rFonts w:cs="Arial"/>
            </w:rPr>
          </w:pPr>
          <w:r>
            <w:rPr>
              <w:rFonts w:cs="Arial"/>
            </w:rPr>
            <w:t>23.01.2015</w:t>
          </w:r>
        </w:p>
      </w:tc>
      <w:tc>
        <w:tcPr>
          <w:tcW w:w="2362" w:type="dxa"/>
          <w:vAlign w:val="center"/>
        </w:tcPr>
        <w:p w:rsidR="004C0824" w:rsidRPr="005B3529" w:rsidRDefault="004C0824" w:rsidP="00DA130D">
          <w:pPr>
            <w:pStyle w:val="Nagwek"/>
            <w:ind w:left="140" w:firstLine="0"/>
            <w:rPr>
              <w:rFonts w:cs="Arial"/>
            </w:rPr>
          </w:pPr>
          <w:r w:rsidRPr="002C3B0B">
            <w:rPr>
              <w:rFonts w:cs="Arial"/>
            </w:rPr>
            <w:t xml:space="preserve">Wersja nr: </w:t>
          </w:r>
          <w:r>
            <w:rPr>
              <w:rFonts w:cs="Arial"/>
            </w:rPr>
            <w:t>1</w:t>
          </w:r>
        </w:p>
        <w:p w:rsidR="004C0824" w:rsidRPr="005B3529" w:rsidRDefault="004C0824" w:rsidP="00D812CE">
          <w:pPr>
            <w:pStyle w:val="Nagwek"/>
            <w:ind w:left="140" w:firstLine="0"/>
            <w:rPr>
              <w:rFonts w:cs="Arial"/>
            </w:rPr>
          </w:pPr>
          <w:r w:rsidRPr="005B3529">
            <w:rPr>
              <w:rFonts w:cs="Arial"/>
            </w:rPr>
            <w:t>z dnia</w:t>
          </w:r>
          <w:r>
            <w:rPr>
              <w:rFonts w:cs="Arial"/>
            </w:rPr>
            <w:t>: 23</w:t>
          </w:r>
          <w:r w:rsidRPr="005B3529">
            <w:rPr>
              <w:rFonts w:cs="Arial"/>
            </w:rPr>
            <w:t>.</w:t>
          </w:r>
          <w:r>
            <w:rPr>
              <w:rFonts w:cs="Arial"/>
            </w:rPr>
            <w:t>01</w:t>
          </w:r>
          <w:r w:rsidRPr="005B3529">
            <w:rPr>
              <w:rFonts w:cs="Arial"/>
            </w:rPr>
            <w:t>.201</w:t>
          </w:r>
          <w:r>
            <w:rPr>
              <w:rFonts w:cs="Arial"/>
            </w:rPr>
            <w:t>5</w:t>
          </w:r>
        </w:p>
      </w:tc>
    </w:tr>
    <w:tr w:rsidR="004C0824" w:rsidTr="001A4AC0">
      <w:trPr>
        <w:trHeight w:val="158"/>
      </w:trPr>
      <w:tc>
        <w:tcPr>
          <w:tcW w:w="4077" w:type="dxa"/>
          <w:gridSpan w:val="2"/>
          <w:vAlign w:val="center"/>
        </w:tcPr>
        <w:p w:rsidR="004C0824" w:rsidRPr="005B3529" w:rsidRDefault="004C0824" w:rsidP="00944B13">
          <w:pPr>
            <w:pStyle w:val="Nagwek"/>
            <w:ind w:left="142" w:firstLine="0"/>
            <w:jc w:val="left"/>
            <w:rPr>
              <w:rFonts w:cs="Arial"/>
            </w:rPr>
          </w:pPr>
          <w:r w:rsidRPr="002C3B0B">
            <w:rPr>
              <w:rFonts w:cs="Arial"/>
            </w:rPr>
            <w:t>Faza projektu: E-1</w:t>
          </w:r>
        </w:p>
      </w:tc>
      <w:tc>
        <w:tcPr>
          <w:tcW w:w="5293" w:type="dxa"/>
          <w:gridSpan w:val="2"/>
          <w:vAlign w:val="center"/>
        </w:tcPr>
        <w:p w:rsidR="004C0824" w:rsidRPr="005B3529" w:rsidRDefault="004C0824" w:rsidP="000F7F60">
          <w:pPr>
            <w:pStyle w:val="Nagwek"/>
            <w:ind w:hanging="1168"/>
            <w:rPr>
              <w:rFonts w:cs="Arial"/>
            </w:rPr>
          </w:pPr>
          <w:r w:rsidRPr="002C3B0B">
            <w:rPr>
              <w:rFonts w:cs="Arial"/>
            </w:rPr>
            <w:t xml:space="preserve">Obszar projektu: </w:t>
          </w:r>
          <w:r w:rsidRPr="00830AE3">
            <w:rPr>
              <w:rFonts w:cs="Arial"/>
            </w:rPr>
            <w:t>Analiza wymagań</w:t>
          </w:r>
        </w:p>
      </w:tc>
    </w:tr>
    <w:tr w:rsidR="004C0824" w:rsidTr="001A4AC0">
      <w:trPr>
        <w:trHeight w:val="79"/>
      </w:trPr>
      <w:tc>
        <w:tcPr>
          <w:tcW w:w="4077" w:type="dxa"/>
          <w:gridSpan w:val="2"/>
        </w:tcPr>
        <w:p w:rsidR="004C0824" w:rsidRPr="005B3529" w:rsidRDefault="004C0824" w:rsidP="00D93CC9">
          <w:pPr>
            <w:pStyle w:val="Nagwek"/>
            <w:ind w:left="142" w:firstLine="0"/>
            <w:jc w:val="left"/>
            <w:rPr>
              <w:rFonts w:cs="Arial"/>
            </w:rPr>
          </w:pPr>
          <w:r w:rsidRPr="002C3B0B">
            <w:rPr>
              <w:rFonts w:cs="Arial"/>
            </w:rPr>
            <w:t>Rodzaj dokumentu: Analiza</w:t>
          </w:r>
        </w:p>
      </w:tc>
      <w:tc>
        <w:tcPr>
          <w:tcW w:w="5293" w:type="dxa"/>
          <w:gridSpan w:val="2"/>
        </w:tcPr>
        <w:p w:rsidR="004C0824" w:rsidRPr="005B3529" w:rsidRDefault="004C0824" w:rsidP="00D812CE">
          <w:pPr>
            <w:pStyle w:val="Nagwek"/>
            <w:ind w:hanging="1168"/>
            <w:rPr>
              <w:rFonts w:cs="Arial"/>
            </w:rPr>
          </w:pPr>
          <w:r w:rsidRPr="002C3B0B">
            <w:rPr>
              <w:rFonts w:cs="Arial"/>
            </w:rPr>
            <w:t xml:space="preserve">Status dokumentu: </w:t>
          </w:r>
          <w:r>
            <w:rPr>
              <w:rFonts w:cs="Arial"/>
            </w:rPr>
            <w:t>Z</w:t>
          </w:r>
          <w:r w:rsidRPr="002C3B0B">
            <w:rPr>
              <w:rFonts w:cs="Arial"/>
            </w:rPr>
            <w:t>atwierdzony</w:t>
          </w:r>
        </w:p>
      </w:tc>
    </w:tr>
    <w:tr w:rsidR="004C0824" w:rsidTr="001A4AC0">
      <w:trPr>
        <w:trHeight w:val="158"/>
      </w:trPr>
      <w:tc>
        <w:tcPr>
          <w:tcW w:w="4077" w:type="dxa"/>
          <w:gridSpan w:val="2"/>
        </w:tcPr>
        <w:p w:rsidR="004C0824" w:rsidRPr="005B3529" w:rsidRDefault="004C0824" w:rsidP="00131EA2">
          <w:pPr>
            <w:pStyle w:val="Nagwek"/>
            <w:ind w:left="0" w:firstLine="0"/>
            <w:jc w:val="left"/>
            <w:rPr>
              <w:rFonts w:cs="Arial"/>
            </w:rPr>
          </w:pPr>
          <w:r w:rsidRPr="002C3B0B">
            <w:rPr>
              <w:rFonts w:cs="Arial"/>
            </w:rPr>
            <w:t xml:space="preserve"> Odpowiedzialny: Piotr Naszkowski</w:t>
          </w:r>
        </w:p>
      </w:tc>
      <w:tc>
        <w:tcPr>
          <w:tcW w:w="5293" w:type="dxa"/>
          <w:gridSpan w:val="2"/>
        </w:tcPr>
        <w:p w:rsidR="004C0824" w:rsidRPr="005B3529" w:rsidRDefault="004C0824" w:rsidP="00CC58B9">
          <w:pPr>
            <w:pStyle w:val="Nagwek"/>
            <w:ind w:hanging="1149"/>
            <w:rPr>
              <w:rFonts w:cs="Arial"/>
            </w:rPr>
          </w:pPr>
          <w:r w:rsidRPr="002C3B0B">
            <w:rPr>
              <w:rFonts w:cs="Arial"/>
            </w:rPr>
            <w:t>Autor: T4B Spółka z o.o.</w:t>
          </w:r>
        </w:p>
      </w:tc>
    </w:tr>
  </w:tbl>
  <w:p w:rsidR="004C0824" w:rsidRDefault="004C0824" w:rsidP="00DA130D">
    <w:pPr>
      <w:pStyle w:val="Nagwek"/>
      <w:ind w:left="0" w:firstLine="0"/>
    </w:pPr>
    <w:r>
      <w:rPr>
        <w:noProof/>
        <w:lang w:eastAsia="pl-PL"/>
      </w:rPr>
      <w:drawing>
        <wp:inline distT="0" distB="0" distL="0" distR="0">
          <wp:extent cx="5740400" cy="558800"/>
          <wp:effectExtent l="0" t="0" r="0" b="0"/>
          <wp:docPr id="2" name="Obraz 2" descr="stopk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/>
      </w:rPr>
    </w:lvl>
  </w:abstractNum>
  <w:abstractNum w:abstractNumId="1">
    <w:nsid w:val="03B32373"/>
    <w:multiLevelType w:val="hybridMultilevel"/>
    <w:tmpl w:val="4DF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9">
      <w:start w:val="1"/>
      <w:numFmt w:val="lowerLetter"/>
      <w:lvlText w:val="%3."/>
      <w:lvlJc w:val="left"/>
      <w:pPr>
        <w:ind w:left="1212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27C"/>
    <w:multiLevelType w:val="hybridMultilevel"/>
    <w:tmpl w:val="B382FC4E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31898"/>
    <w:multiLevelType w:val="multilevel"/>
    <w:tmpl w:val="7A02138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3366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2B858E2"/>
    <w:multiLevelType w:val="hybridMultilevel"/>
    <w:tmpl w:val="614AAE7C"/>
    <w:lvl w:ilvl="0" w:tplc="04090019">
      <w:start w:val="1"/>
      <w:numFmt w:val="lowerLetter"/>
      <w:lvlText w:val="%1."/>
      <w:lvlJc w:val="left"/>
      <w:pPr>
        <w:ind w:left="1788" w:hanging="360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B011B26"/>
    <w:multiLevelType w:val="hybridMultilevel"/>
    <w:tmpl w:val="9A38F150"/>
    <w:lvl w:ilvl="0" w:tplc="F92A5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BB2033"/>
    <w:multiLevelType w:val="hybridMultilevel"/>
    <w:tmpl w:val="82CAE262"/>
    <w:lvl w:ilvl="0" w:tplc="8C3C7FFC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94363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6039BF"/>
    <w:multiLevelType w:val="hybridMultilevel"/>
    <w:tmpl w:val="352C3FA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0C02011"/>
    <w:multiLevelType w:val="hybridMultilevel"/>
    <w:tmpl w:val="A60E0D9A"/>
    <w:lvl w:ilvl="0" w:tplc="04090019">
      <w:start w:val="1"/>
      <w:numFmt w:val="low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18112B7"/>
    <w:multiLevelType w:val="hybridMultilevel"/>
    <w:tmpl w:val="0FCAF3E2"/>
    <w:lvl w:ilvl="0" w:tplc="BE427C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30A00C8"/>
    <w:multiLevelType w:val="hybridMultilevel"/>
    <w:tmpl w:val="32429D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52A7B70"/>
    <w:multiLevelType w:val="hybridMultilevel"/>
    <w:tmpl w:val="A4C6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272D4"/>
    <w:multiLevelType w:val="hybridMultilevel"/>
    <w:tmpl w:val="06AAE3D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2C613BD2"/>
    <w:multiLevelType w:val="hybridMultilevel"/>
    <w:tmpl w:val="3040727E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F90A57"/>
    <w:multiLevelType w:val="hybridMultilevel"/>
    <w:tmpl w:val="CA9EB18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9489B"/>
    <w:multiLevelType w:val="hybridMultilevel"/>
    <w:tmpl w:val="6532CCE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6A1A8C"/>
    <w:multiLevelType w:val="hybridMultilevel"/>
    <w:tmpl w:val="254E7426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BD0201B"/>
    <w:multiLevelType w:val="hybridMultilevel"/>
    <w:tmpl w:val="C36EDBDC"/>
    <w:lvl w:ilvl="0" w:tplc="04090019">
      <w:start w:val="1"/>
      <w:numFmt w:val="low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2276485"/>
    <w:multiLevelType w:val="hybridMultilevel"/>
    <w:tmpl w:val="1B04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A273C"/>
    <w:multiLevelType w:val="hybridMultilevel"/>
    <w:tmpl w:val="B9A6B9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B5455A"/>
    <w:multiLevelType w:val="hybridMultilevel"/>
    <w:tmpl w:val="BB16B82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41A498BE">
      <w:start w:val="2"/>
      <w:numFmt w:val="bullet"/>
      <w:lvlText w:val="-"/>
      <w:lvlJc w:val="left"/>
      <w:pPr>
        <w:ind w:left="2688" w:hanging="360"/>
      </w:pPr>
      <w:rPr>
        <w:rFonts w:ascii="Calibri" w:eastAsia="Times New Roman" w:hAnsi="Calibri" w:cs="Times New Roman" w:hint="default"/>
      </w:rPr>
    </w:lvl>
    <w:lvl w:ilvl="3" w:tplc="176C00AA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3E0E42"/>
    <w:multiLevelType w:val="hybridMultilevel"/>
    <w:tmpl w:val="30EADA1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B">
      <w:start w:val="1"/>
      <w:numFmt w:val="lowerRoman"/>
      <w:lvlText w:val="%2."/>
      <w:lvlJc w:val="right"/>
      <w:pPr>
        <w:ind w:left="1788" w:hanging="360"/>
      </w:pPr>
    </w:lvl>
    <w:lvl w:ilvl="2" w:tplc="41A498BE">
      <w:start w:val="2"/>
      <w:numFmt w:val="bullet"/>
      <w:lvlText w:val="-"/>
      <w:lvlJc w:val="left"/>
      <w:pPr>
        <w:ind w:left="2688" w:hanging="360"/>
      </w:pPr>
      <w:rPr>
        <w:rFonts w:ascii="Calibri" w:eastAsia="Times New Roman" w:hAnsi="Calibri" w:cs="Times New Roman" w:hint="default"/>
      </w:rPr>
    </w:lvl>
    <w:lvl w:ilvl="3" w:tplc="176C00AA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B07EB1"/>
    <w:multiLevelType w:val="hybridMultilevel"/>
    <w:tmpl w:val="2CE01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E2D6D"/>
    <w:multiLevelType w:val="hybridMultilevel"/>
    <w:tmpl w:val="B678CCE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1569CC"/>
    <w:multiLevelType w:val="hybridMultilevel"/>
    <w:tmpl w:val="0B44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9491C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77A422DC"/>
    <w:multiLevelType w:val="hybridMultilevel"/>
    <w:tmpl w:val="21262E18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E42E8E"/>
    <w:multiLevelType w:val="hybridMultilevel"/>
    <w:tmpl w:val="DB8632AA"/>
    <w:lvl w:ilvl="0" w:tplc="08446B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2046A4"/>
    <w:multiLevelType w:val="hybridMultilevel"/>
    <w:tmpl w:val="83806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065650"/>
    <w:multiLevelType w:val="hybridMultilevel"/>
    <w:tmpl w:val="2788E7C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1"/>
  </w:num>
  <w:num w:numId="5">
    <w:abstractNumId w:val="16"/>
  </w:num>
  <w:num w:numId="6">
    <w:abstractNumId w:val="28"/>
  </w:num>
  <w:num w:numId="7">
    <w:abstractNumId w:val="27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19"/>
  </w:num>
  <w:num w:numId="16">
    <w:abstractNumId w:val="15"/>
  </w:num>
  <w:num w:numId="17">
    <w:abstractNumId w:val="12"/>
  </w:num>
  <w:num w:numId="18">
    <w:abstractNumId w:val="23"/>
  </w:num>
  <w:num w:numId="19">
    <w:abstractNumId w:val="13"/>
  </w:num>
  <w:num w:numId="20">
    <w:abstractNumId w:val="20"/>
  </w:num>
  <w:num w:numId="21">
    <w:abstractNumId w:val="26"/>
  </w:num>
  <w:num w:numId="22">
    <w:abstractNumId w:val="17"/>
  </w:num>
  <w:num w:numId="23">
    <w:abstractNumId w:val="2"/>
  </w:num>
  <w:num w:numId="24">
    <w:abstractNumId w:val="22"/>
  </w:num>
  <w:num w:numId="25">
    <w:abstractNumId w:val="4"/>
  </w:num>
  <w:num w:numId="26">
    <w:abstractNumId w:val="8"/>
  </w:num>
  <w:num w:numId="27">
    <w:abstractNumId w:val="18"/>
  </w:num>
  <w:num w:numId="28">
    <w:abstractNumId w:val="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Naszkowski">
    <w15:presenceInfo w15:providerId="Windows Live" w15:userId="cde482d7b3ca32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114C"/>
    <w:rsid w:val="00006D21"/>
    <w:rsid w:val="00007080"/>
    <w:rsid w:val="00012E6C"/>
    <w:rsid w:val="0002671D"/>
    <w:rsid w:val="00031DBE"/>
    <w:rsid w:val="00036A7C"/>
    <w:rsid w:val="000402C0"/>
    <w:rsid w:val="00043E10"/>
    <w:rsid w:val="00044CC2"/>
    <w:rsid w:val="00056849"/>
    <w:rsid w:val="000574DA"/>
    <w:rsid w:val="00060FA1"/>
    <w:rsid w:val="00060FE0"/>
    <w:rsid w:val="000811F1"/>
    <w:rsid w:val="000861F9"/>
    <w:rsid w:val="00095C04"/>
    <w:rsid w:val="000A1F1C"/>
    <w:rsid w:val="000A441C"/>
    <w:rsid w:val="000B4F77"/>
    <w:rsid w:val="000C127D"/>
    <w:rsid w:val="000C2C22"/>
    <w:rsid w:val="000C79F3"/>
    <w:rsid w:val="000D1025"/>
    <w:rsid w:val="000D208F"/>
    <w:rsid w:val="000D4DC0"/>
    <w:rsid w:val="000E1AA5"/>
    <w:rsid w:val="000F58EF"/>
    <w:rsid w:val="000F7F60"/>
    <w:rsid w:val="00100004"/>
    <w:rsid w:val="00101041"/>
    <w:rsid w:val="00105CE5"/>
    <w:rsid w:val="00107473"/>
    <w:rsid w:val="00112198"/>
    <w:rsid w:val="00113281"/>
    <w:rsid w:val="00122117"/>
    <w:rsid w:val="001230BC"/>
    <w:rsid w:val="00131EA2"/>
    <w:rsid w:val="0013672E"/>
    <w:rsid w:val="0014760D"/>
    <w:rsid w:val="0014775C"/>
    <w:rsid w:val="0015171E"/>
    <w:rsid w:val="0016731D"/>
    <w:rsid w:val="00170818"/>
    <w:rsid w:val="00171C9C"/>
    <w:rsid w:val="00194269"/>
    <w:rsid w:val="00194624"/>
    <w:rsid w:val="00194E75"/>
    <w:rsid w:val="001A4AC0"/>
    <w:rsid w:val="001A6895"/>
    <w:rsid w:val="001A70D0"/>
    <w:rsid w:val="001B3E6A"/>
    <w:rsid w:val="001C25FD"/>
    <w:rsid w:val="001D05B5"/>
    <w:rsid w:val="001D2AF9"/>
    <w:rsid w:val="001D4A63"/>
    <w:rsid w:val="001E58B2"/>
    <w:rsid w:val="001F361A"/>
    <w:rsid w:val="001F69EC"/>
    <w:rsid w:val="001F6E70"/>
    <w:rsid w:val="002220F4"/>
    <w:rsid w:val="00231821"/>
    <w:rsid w:val="00236415"/>
    <w:rsid w:val="00241338"/>
    <w:rsid w:val="00244C84"/>
    <w:rsid w:val="002518F4"/>
    <w:rsid w:val="002544EA"/>
    <w:rsid w:val="00257DEF"/>
    <w:rsid w:val="002630CA"/>
    <w:rsid w:val="00266F01"/>
    <w:rsid w:val="002719B4"/>
    <w:rsid w:val="00274294"/>
    <w:rsid w:val="00282586"/>
    <w:rsid w:val="00282C7B"/>
    <w:rsid w:val="002845C0"/>
    <w:rsid w:val="0028495C"/>
    <w:rsid w:val="00291444"/>
    <w:rsid w:val="0029172B"/>
    <w:rsid w:val="002A18B4"/>
    <w:rsid w:val="002B1A31"/>
    <w:rsid w:val="002B5EF5"/>
    <w:rsid w:val="002B7612"/>
    <w:rsid w:val="002C1469"/>
    <w:rsid w:val="002C3B0B"/>
    <w:rsid w:val="002C5605"/>
    <w:rsid w:val="002C6F84"/>
    <w:rsid w:val="002C71D0"/>
    <w:rsid w:val="002D0586"/>
    <w:rsid w:val="002D0ED5"/>
    <w:rsid w:val="002D1CEA"/>
    <w:rsid w:val="002D4361"/>
    <w:rsid w:val="002D4AD4"/>
    <w:rsid w:val="002D7614"/>
    <w:rsid w:val="002E7E1B"/>
    <w:rsid w:val="002F2742"/>
    <w:rsid w:val="002F7AEF"/>
    <w:rsid w:val="003018D7"/>
    <w:rsid w:val="00303E9A"/>
    <w:rsid w:val="00304C58"/>
    <w:rsid w:val="00310C0B"/>
    <w:rsid w:val="00310D7D"/>
    <w:rsid w:val="00316F6B"/>
    <w:rsid w:val="00332223"/>
    <w:rsid w:val="003328C5"/>
    <w:rsid w:val="003362AA"/>
    <w:rsid w:val="00342197"/>
    <w:rsid w:val="00352A56"/>
    <w:rsid w:val="003533CC"/>
    <w:rsid w:val="00361250"/>
    <w:rsid w:val="00363581"/>
    <w:rsid w:val="00376B24"/>
    <w:rsid w:val="003770CF"/>
    <w:rsid w:val="003809C6"/>
    <w:rsid w:val="00385E63"/>
    <w:rsid w:val="00393F45"/>
    <w:rsid w:val="003945FE"/>
    <w:rsid w:val="003A1D5A"/>
    <w:rsid w:val="003A20FA"/>
    <w:rsid w:val="003A3BFC"/>
    <w:rsid w:val="003A5C9C"/>
    <w:rsid w:val="003B044D"/>
    <w:rsid w:val="003B16E2"/>
    <w:rsid w:val="003B5497"/>
    <w:rsid w:val="003C52D9"/>
    <w:rsid w:val="003D1637"/>
    <w:rsid w:val="003E020B"/>
    <w:rsid w:val="003E3C18"/>
    <w:rsid w:val="003F5697"/>
    <w:rsid w:val="00401E3E"/>
    <w:rsid w:val="00402405"/>
    <w:rsid w:val="0040582F"/>
    <w:rsid w:val="00413A60"/>
    <w:rsid w:val="004164BB"/>
    <w:rsid w:val="00427053"/>
    <w:rsid w:val="00430D8C"/>
    <w:rsid w:val="00435A2E"/>
    <w:rsid w:val="00440150"/>
    <w:rsid w:val="0044085A"/>
    <w:rsid w:val="0045570E"/>
    <w:rsid w:val="0045738D"/>
    <w:rsid w:val="004601F1"/>
    <w:rsid w:val="00473E7A"/>
    <w:rsid w:val="00475505"/>
    <w:rsid w:val="004824AC"/>
    <w:rsid w:val="004846E2"/>
    <w:rsid w:val="0049182C"/>
    <w:rsid w:val="004928E2"/>
    <w:rsid w:val="00493051"/>
    <w:rsid w:val="004A1CCF"/>
    <w:rsid w:val="004B1D99"/>
    <w:rsid w:val="004B2966"/>
    <w:rsid w:val="004B4958"/>
    <w:rsid w:val="004C0824"/>
    <w:rsid w:val="004C3FE7"/>
    <w:rsid w:val="004C4B5F"/>
    <w:rsid w:val="004D1ED4"/>
    <w:rsid w:val="004D292A"/>
    <w:rsid w:val="004D660B"/>
    <w:rsid w:val="004F2878"/>
    <w:rsid w:val="004F5A97"/>
    <w:rsid w:val="004F5E88"/>
    <w:rsid w:val="004F6803"/>
    <w:rsid w:val="00504E22"/>
    <w:rsid w:val="00510C3D"/>
    <w:rsid w:val="005152A2"/>
    <w:rsid w:val="00516AB9"/>
    <w:rsid w:val="00516DDF"/>
    <w:rsid w:val="005219C9"/>
    <w:rsid w:val="00522C58"/>
    <w:rsid w:val="0052428A"/>
    <w:rsid w:val="00527345"/>
    <w:rsid w:val="00534636"/>
    <w:rsid w:val="00543E11"/>
    <w:rsid w:val="005465B4"/>
    <w:rsid w:val="00557A70"/>
    <w:rsid w:val="0056094A"/>
    <w:rsid w:val="00583929"/>
    <w:rsid w:val="00584510"/>
    <w:rsid w:val="00591438"/>
    <w:rsid w:val="00595A06"/>
    <w:rsid w:val="005A657D"/>
    <w:rsid w:val="005B3529"/>
    <w:rsid w:val="005B353C"/>
    <w:rsid w:val="005C07DC"/>
    <w:rsid w:val="005C22A0"/>
    <w:rsid w:val="005F0F0C"/>
    <w:rsid w:val="005F1B89"/>
    <w:rsid w:val="005F49A1"/>
    <w:rsid w:val="005F64A0"/>
    <w:rsid w:val="00606B4A"/>
    <w:rsid w:val="006106FF"/>
    <w:rsid w:val="00612D3A"/>
    <w:rsid w:val="006133F4"/>
    <w:rsid w:val="00623776"/>
    <w:rsid w:val="00626C2C"/>
    <w:rsid w:val="00636BA5"/>
    <w:rsid w:val="00643662"/>
    <w:rsid w:val="00644C35"/>
    <w:rsid w:val="00646174"/>
    <w:rsid w:val="00650AB2"/>
    <w:rsid w:val="00651685"/>
    <w:rsid w:val="00653D5B"/>
    <w:rsid w:val="00662CAD"/>
    <w:rsid w:val="00665801"/>
    <w:rsid w:val="006720AC"/>
    <w:rsid w:val="0067430A"/>
    <w:rsid w:val="00674BA8"/>
    <w:rsid w:val="00680291"/>
    <w:rsid w:val="00680775"/>
    <w:rsid w:val="006822B9"/>
    <w:rsid w:val="00685187"/>
    <w:rsid w:val="006A62B6"/>
    <w:rsid w:val="006B163E"/>
    <w:rsid w:val="006C4C42"/>
    <w:rsid w:val="006C7A09"/>
    <w:rsid w:val="006E20BA"/>
    <w:rsid w:val="006E258F"/>
    <w:rsid w:val="006E6227"/>
    <w:rsid w:val="006E74C0"/>
    <w:rsid w:val="006E794B"/>
    <w:rsid w:val="006F742F"/>
    <w:rsid w:val="007017F5"/>
    <w:rsid w:val="00705F0F"/>
    <w:rsid w:val="00710D2E"/>
    <w:rsid w:val="00711BDB"/>
    <w:rsid w:val="00720F82"/>
    <w:rsid w:val="007254CD"/>
    <w:rsid w:val="0072690C"/>
    <w:rsid w:val="00726AAD"/>
    <w:rsid w:val="00737151"/>
    <w:rsid w:val="007372E9"/>
    <w:rsid w:val="00737978"/>
    <w:rsid w:val="00743956"/>
    <w:rsid w:val="0074566B"/>
    <w:rsid w:val="007466F4"/>
    <w:rsid w:val="00755038"/>
    <w:rsid w:val="0075561E"/>
    <w:rsid w:val="00755B82"/>
    <w:rsid w:val="00760207"/>
    <w:rsid w:val="00764D49"/>
    <w:rsid w:val="00774B33"/>
    <w:rsid w:val="007768D7"/>
    <w:rsid w:val="00776B26"/>
    <w:rsid w:val="00777CBD"/>
    <w:rsid w:val="00781404"/>
    <w:rsid w:val="007832DC"/>
    <w:rsid w:val="007840BA"/>
    <w:rsid w:val="00787E74"/>
    <w:rsid w:val="00790A34"/>
    <w:rsid w:val="007A3C01"/>
    <w:rsid w:val="007A53B0"/>
    <w:rsid w:val="007B2D2D"/>
    <w:rsid w:val="007B627D"/>
    <w:rsid w:val="007B6800"/>
    <w:rsid w:val="007C0ED2"/>
    <w:rsid w:val="007C37F6"/>
    <w:rsid w:val="007C7CAC"/>
    <w:rsid w:val="007D2443"/>
    <w:rsid w:val="007D2823"/>
    <w:rsid w:val="007E2FEE"/>
    <w:rsid w:val="007E6C3D"/>
    <w:rsid w:val="007F49B8"/>
    <w:rsid w:val="007F5CDC"/>
    <w:rsid w:val="008019DA"/>
    <w:rsid w:val="00804274"/>
    <w:rsid w:val="0081313D"/>
    <w:rsid w:val="00813DB9"/>
    <w:rsid w:val="00816329"/>
    <w:rsid w:val="00822951"/>
    <w:rsid w:val="00830AE3"/>
    <w:rsid w:val="00833653"/>
    <w:rsid w:val="00841A08"/>
    <w:rsid w:val="00854EC4"/>
    <w:rsid w:val="00855B53"/>
    <w:rsid w:val="008573D1"/>
    <w:rsid w:val="00870187"/>
    <w:rsid w:val="00874C8D"/>
    <w:rsid w:val="008779C3"/>
    <w:rsid w:val="00884B13"/>
    <w:rsid w:val="008903C9"/>
    <w:rsid w:val="00891CBE"/>
    <w:rsid w:val="0089762E"/>
    <w:rsid w:val="008A5130"/>
    <w:rsid w:val="008A56FC"/>
    <w:rsid w:val="008B1DC6"/>
    <w:rsid w:val="008B2FC9"/>
    <w:rsid w:val="008B6AB2"/>
    <w:rsid w:val="008B7E48"/>
    <w:rsid w:val="008C0B6C"/>
    <w:rsid w:val="008C153C"/>
    <w:rsid w:val="008C648A"/>
    <w:rsid w:val="008F161A"/>
    <w:rsid w:val="00900289"/>
    <w:rsid w:val="0091114C"/>
    <w:rsid w:val="00916474"/>
    <w:rsid w:val="009240D3"/>
    <w:rsid w:val="0092776F"/>
    <w:rsid w:val="00934782"/>
    <w:rsid w:val="0094226A"/>
    <w:rsid w:val="00944134"/>
    <w:rsid w:val="00944B13"/>
    <w:rsid w:val="00944C0D"/>
    <w:rsid w:val="0094577F"/>
    <w:rsid w:val="0095111E"/>
    <w:rsid w:val="00955D9B"/>
    <w:rsid w:val="00962F9F"/>
    <w:rsid w:val="00965F80"/>
    <w:rsid w:val="00976766"/>
    <w:rsid w:val="009815AD"/>
    <w:rsid w:val="00984FA9"/>
    <w:rsid w:val="00987A06"/>
    <w:rsid w:val="009910F9"/>
    <w:rsid w:val="00991A16"/>
    <w:rsid w:val="009A00F8"/>
    <w:rsid w:val="009B6A84"/>
    <w:rsid w:val="009C10F6"/>
    <w:rsid w:val="009C1963"/>
    <w:rsid w:val="009C3143"/>
    <w:rsid w:val="009C3614"/>
    <w:rsid w:val="009C3C68"/>
    <w:rsid w:val="009D7A77"/>
    <w:rsid w:val="009E27E9"/>
    <w:rsid w:val="009E36B0"/>
    <w:rsid w:val="009E400E"/>
    <w:rsid w:val="009F131D"/>
    <w:rsid w:val="009F133F"/>
    <w:rsid w:val="009F3D96"/>
    <w:rsid w:val="00A02B3C"/>
    <w:rsid w:val="00A20595"/>
    <w:rsid w:val="00A27D3B"/>
    <w:rsid w:val="00A33E93"/>
    <w:rsid w:val="00A36BCF"/>
    <w:rsid w:val="00A414A2"/>
    <w:rsid w:val="00A52124"/>
    <w:rsid w:val="00A533A9"/>
    <w:rsid w:val="00A60183"/>
    <w:rsid w:val="00A63770"/>
    <w:rsid w:val="00A70E94"/>
    <w:rsid w:val="00A73BF2"/>
    <w:rsid w:val="00A873D6"/>
    <w:rsid w:val="00A9627F"/>
    <w:rsid w:val="00AA0A1E"/>
    <w:rsid w:val="00AA3B34"/>
    <w:rsid w:val="00AA3B4B"/>
    <w:rsid w:val="00AA53F0"/>
    <w:rsid w:val="00AB1346"/>
    <w:rsid w:val="00AB49B5"/>
    <w:rsid w:val="00AC25D7"/>
    <w:rsid w:val="00AD1588"/>
    <w:rsid w:val="00AD36C7"/>
    <w:rsid w:val="00AD465E"/>
    <w:rsid w:val="00AD4A74"/>
    <w:rsid w:val="00AE34A3"/>
    <w:rsid w:val="00AE3769"/>
    <w:rsid w:val="00AE71C6"/>
    <w:rsid w:val="00AF2F7F"/>
    <w:rsid w:val="00AF6D7F"/>
    <w:rsid w:val="00B0393E"/>
    <w:rsid w:val="00B05993"/>
    <w:rsid w:val="00B1330B"/>
    <w:rsid w:val="00B1388D"/>
    <w:rsid w:val="00B1762E"/>
    <w:rsid w:val="00B27B1C"/>
    <w:rsid w:val="00B457F0"/>
    <w:rsid w:val="00B57362"/>
    <w:rsid w:val="00B57F02"/>
    <w:rsid w:val="00B6059F"/>
    <w:rsid w:val="00B710B1"/>
    <w:rsid w:val="00B7297C"/>
    <w:rsid w:val="00B7419B"/>
    <w:rsid w:val="00B822CD"/>
    <w:rsid w:val="00B83266"/>
    <w:rsid w:val="00B8423F"/>
    <w:rsid w:val="00B84E1B"/>
    <w:rsid w:val="00B84E6C"/>
    <w:rsid w:val="00B95C88"/>
    <w:rsid w:val="00B96F7D"/>
    <w:rsid w:val="00BA225F"/>
    <w:rsid w:val="00BB20A8"/>
    <w:rsid w:val="00BB23BB"/>
    <w:rsid w:val="00BB3F47"/>
    <w:rsid w:val="00BC3EE8"/>
    <w:rsid w:val="00BD1121"/>
    <w:rsid w:val="00BE3AC1"/>
    <w:rsid w:val="00BE4FED"/>
    <w:rsid w:val="00BF5C28"/>
    <w:rsid w:val="00C0169C"/>
    <w:rsid w:val="00C03472"/>
    <w:rsid w:val="00C04005"/>
    <w:rsid w:val="00C06806"/>
    <w:rsid w:val="00C11950"/>
    <w:rsid w:val="00C12B18"/>
    <w:rsid w:val="00C21516"/>
    <w:rsid w:val="00C217B9"/>
    <w:rsid w:val="00C21BB7"/>
    <w:rsid w:val="00C23790"/>
    <w:rsid w:val="00C2609C"/>
    <w:rsid w:val="00C26E58"/>
    <w:rsid w:val="00C306A0"/>
    <w:rsid w:val="00C3210F"/>
    <w:rsid w:val="00C418C8"/>
    <w:rsid w:val="00C41960"/>
    <w:rsid w:val="00C41A3E"/>
    <w:rsid w:val="00C5028C"/>
    <w:rsid w:val="00C5767D"/>
    <w:rsid w:val="00C60213"/>
    <w:rsid w:val="00C7229C"/>
    <w:rsid w:val="00C74D2A"/>
    <w:rsid w:val="00C764B1"/>
    <w:rsid w:val="00C76EC4"/>
    <w:rsid w:val="00C91DCE"/>
    <w:rsid w:val="00C922D8"/>
    <w:rsid w:val="00CA0650"/>
    <w:rsid w:val="00CA5E3C"/>
    <w:rsid w:val="00CB0311"/>
    <w:rsid w:val="00CB3792"/>
    <w:rsid w:val="00CC1437"/>
    <w:rsid w:val="00CC58B9"/>
    <w:rsid w:val="00CD19AC"/>
    <w:rsid w:val="00CD6304"/>
    <w:rsid w:val="00CD696C"/>
    <w:rsid w:val="00CD7A2A"/>
    <w:rsid w:val="00CF480E"/>
    <w:rsid w:val="00CF5F46"/>
    <w:rsid w:val="00CF7D54"/>
    <w:rsid w:val="00D00B3F"/>
    <w:rsid w:val="00D070D4"/>
    <w:rsid w:val="00D1156C"/>
    <w:rsid w:val="00D11EAB"/>
    <w:rsid w:val="00D13CB6"/>
    <w:rsid w:val="00D13F98"/>
    <w:rsid w:val="00D1526F"/>
    <w:rsid w:val="00D205C2"/>
    <w:rsid w:val="00D209AF"/>
    <w:rsid w:val="00D3272F"/>
    <w:rsid w:val="00D352BE"/>
    <w:rsid w:val="00D434CC"/>
    <w:rsid w:val="00D4351B"/>
    <w:rsid w:val="00D51787"/>
    <w:rsid w:val="00D63C39"/>
    <w:rsid w:val="00D646CD"/>
    <w:rsid w:val="00D65901"/>
    <w:rsid w:val="00D76A17"/>
    <w:rsid w:val="00D812CE"/>
    <w:rsid w:val="00D90CD4"/>
    <w:rsid w:val="00D92A05"/>
    <w:rsid w:val="00D93CC9"/>
    <w:rsid w:val="00DA130D"/>
    <w:rsid w:val="00DA2702"/>
    <w:rsid w:val="00DA5DB1"/>
    <w:rsid w:val="00DA6CD5"/>
    <w:rsid w:val="00DC26C7"/>
    <w:rsid w:val="00DC2B07"/>
    <w:rsid w:val="00DC39EB"/>
    <w:rsid w:val="00DC64F4"/>
    <w:rsid w:val="00DD263C"/>
    <w:rsid w:val="00DD28B9"/>
    <w:rsid w:val="00DE0A11"/>
    <w:rsid w:val="00DE4B81"/>
    <w:rsid w:val="00DE4D01"/>
    <w:rsid w:val="00DF05FE"/>
    <w:rsid w:val="00DF3840"/>
    <w:rsid w:val="00DF420F"/>
    <w:rsid w:val="00DF6F8F"/>
    <w:rsid w:val="00E030B2"/>
    <w:rsid w:val="00E10B74"/>
    <w:rsid w:val="00E127CB"/>
    <w:rsid w:val="00E143C4"/>
    <w:rsid w:val="00E21066"/>
    <w:rsid w:val="00E21D79"/>
    <w:rsid w:val="00E25232"/>
    <w:rsid w:val="00E34FD9"/>
    <w:rsid w:val="00E37761"/>
    <w:rsid w:val="00E40BE6"/>
    <w:rsid w:val="00E42F0C"/>
    <w:rsid w:val="00E503D9"/>
    <w:rsid w:val="00E50C80"/>
    <w:rsid w:val="00E55BB7"/>
    <w:rsid w:val="00E64494"/>
    <w:rsid w:val="00E65248"/>
    <w:rsid w:val="00E65731"/>
    <w:rsid w:val="00E7078D"/>
    <w:rsid w:val="00E70BA3"/>
    <w:rsid w:val="00E744D9"/>
    <w:rsid w:val="00E84780"/>
    <w:rsid w:val="00E91272"/>
    <w:rsid w:val="00E91F2D"/>
    <w:rsid w:val="00EA3DB8"/>
    <w:rsid w:val="00EB5BF6"/>
    <w:rsid w:val="00EC63BB"/>
    <w:rsid w:val="00ED3A6A"/>
    <w:rsid w:val="00EE30CA"/>
    <w:rsid w:val="00EE5F5B"/>
    <w:rsid w:val="00EF3CFD"/>
    <w:rsid w:val="00F026EA"/>
    <w:rsid w:val="00F04EB8"/>
    <w:rsid w:val="00F159A4"/>
    <w:rsid w:val="00F21781"/>
    <w:rsid w:val="00F21C4A"/>
    <w:rsid w:val="00F24CDA"/>
    <w:rsid w:val="00F27718"/>
    <w:rsid w:val="00F30321"/>
    <w:rsid w:val="00F31F14"/>
    <w:rsid w:val="00F33AD7"/>
    <w:rsid w:val="00F40473"/>
    <w:rsid w:val="00F4167F"/>
    <w:rsid w:val="00F4484F"/>
    <w:rsid w:val="00F47748"/>
    <w:rsid w:val="00F5141B"/>
    <w:rsid w:val="00F51DB3"/>
    <w:rsid w:val="00F53261"/>
    <w:rsid w:val="00F64E81"/>
    <w:rsid w:val="00F66338"/>
    <w:rsid w:val="00F7220B"/>
    <w:rsid w:val="00F7271E"/>
    <w:rsid w:val="00F7610A"/>
    <w:rsid w:val="00F77748"/>
    <w:rsid w:val="00F8275A"/>
    <w:rsid w:val="00F84FE6"/>
    <w:rsid w:val="00F857AB"/>
    <w:rsid w:val="00F94477"/>
    <w:rsid w:val="00F95471"/>
    <w:rsid w:val="00F96E56"/>
    <w:rsid w:val="00FA386E"/>
    <w:rsid w:val="00FA613D"/>
    <w:rsid w:val="00FB0A71"/>
    <w:rsid w:val="00FB3C74"/>
    <w:rsid w:val="00FC6364"/>
    <w:rsid w:val="00FD13EA"/>
    <w:rsid w:val="00FD2C80"/>
    <w:rsid w:val="00FD2D81"/>
    <w:rsid w:val="00FD6444"/>
    <w:rsid w:val="00FE02AF"/>
    <w:rsid w:val="00FF4286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1114C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14C"/>
    <w:pPr>
      <w:keepNext/>
      <w:numPr>
        <w:numId w:val="1"/>
      </w:numPr>
      <w:pBdr>
        <w:top w:val="single" w:sz="12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0"/>
    </w:pPr>
    <w:rPr>
      <w:rFonts w:cs="Times New Roman"/>
      <w:color w:val="003366"/>
      <w:kern w:val="28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14C"/>
    <w:pPr>
      <w:keepNext/>
      <w:keepLines/>
      <w:numPr>
        <w:ilvl w:val="1"/>
        <w:numId w:val="1"/>
      </w:numPr>
      <w:pBdr>
        <w:top w:val="single" w:sz="4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1"/>
    </w:pPr>
    <w:rPr>
      <w:rFonts w:cs="Times New Roman"/>
      <w:color w:val="003366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11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2"/>
    </w:pPr>
    <w:rPr>
      <w:rFonts w:cs="Times New Roman"/>
      <w:color w:val="003366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114C"/>
    <w:pPr>
      <w:keepNext/>
      <w:numPr>
        <w:ilvl w:val="3"/>
        <w:numId w:val="1"/>
      </w:numPr>
      <w:tabs>
        <w:tab w:val="left" w:pos="1560"/>
      </w:tabs>
      <w:spacing w:before="240" w:after="60" w:line="300" w:lineRule="atLeast"/>
      <w:outlineLvl w:val="3"/>
    </w:pPr>
    <w:rPr>
      <w:rFonts w:cs="Times New Roman"/>
      <w:bCs/>
      <w:color w:val="003366"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114C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20" w:after="20"/>
      <w:textAlignment w:val="baseline"/>
      <w:outlineLvl w:val="4"/>
    </w:pPr>
    <w:rPr>
      <w:rFonts w:cs="Times New Roman"/>
      <w:iCs/>
      <w:color w:val="0033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114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5"/>
    </w:pPr>
    <w:rPr>
      <w:rFonts w:cs="Times New Roman"/>
      <w:i/>
      <w:i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114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6"/>
    </w:pPr>
    <w:rPr>
      <w:rFonts w:ascii="Arial" w:hAnsi="Arial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114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7"/>
    </w:pPr>
    <w:rPr>
      <w:rFonts w:ascii="Arial" w:hAnsi="Arial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114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1114C"/>
    <w:rPr>
      <w:rFonts w:ascii="Verdana" w:eastAsia="Times New Roman" w:hAnsi="Verdana"/>
      <w:color w:val="003366"/>
      <w:kern w:val="28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9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91114C"/>
    <w:rPr>
      <w:rFonts w:ascii="Verdana" w:eastAsia="Times New Roman" w:hAnsi="Verdana"/>
      <w:bCs/>
      <w:color w:val="003366"/>
      <w:sz w:val="22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91114C"/>
    <w:rPr>
      <w:rFonts w:ascii="Verdana" w:eastAsia="Times New Roman" w:hAnsi="Verdana"/>
      <w:iCs/>
      <w:color w:val="003366"/>
      <w:lang w:eastAsia="en-US"/>
    </w:rPr>
  </w:style>
  <w:style w:type="character" w:customStyle="1" w:styleId="Nagwek6Znak">
    <w:name w:val="Nagłówek 6 Znak"/>
    <w:link w:val="Nagwek6"/>
    <w:uiPriority w:val="99"/>
    <w:rsid w:val="0091114C"/>
    <w:rPr>
      <w:rFonts w:ascii="Verdana" w:eastAsia="Times New Roman" w:hAnsi="Verdana"/>
      <w:i/>
      <w:iCs/>
      <w:lang w:val="en-US" w:eastAsia="en-US"/>
    </w:rPr>
  </w:style>
  <w:style w:type="character" w:customStyle="1" w:styleId="Nagwek7Znak">
    <w:name w:val="Nagłówek 7 Znak"/>
    <w:link w:val="Nagwek7"/>
    <w:uiPriority w:val="99"/>
    <w:rsid w:val="0091114C"/>
    <w:rPr>
      <w:rFonts w:ascii="Arial" w:eastAsia="Times New Roman" w:hAnsi="Arial"/>
      <w:lang w:val="en-US" w:eastAsia="en-US"/>
    </w:rPr>
  </w:style>
  <w:style w:type="character" w:customStyle="1" w:styleId="Nagwek8Znak">
    <w:name w:val="Nagłówek 8 Znak"/>
    <w:link w:val="Nagwek8"/>
    <w:uiPriority w:val="99"/>
    <w:rsid w:val="0091114C"/>
    <w:rPr>
      <w:rFonts w:ascii="Arial" w:eastAsia="Times New Roman" w:hAnsi="Arial"/>
      <w:i/>
      <w:iCs/>
      <w:lang w:val="en-US" w:eastAsia="en-US"/>
    </w:rPr>
  </w:style>
  <w:style w:type="character" w:customStyle="1" w:styleId="Nagwek9Znak">
    <w:name w:val="Nagłówek 9 Znak"/>
    <w:link w:val="Nagwek9"/>
    <w:uiPriority w:val="99"/>
    <w:rsid w:val="0091114C"/>
    <w:rPr>
      <w:rFonts w:ascii="Arial" w:eastAsia="Times New Roman" w:hAnsi="Arial"/>
      <w:b/>
      <w:bCs/>
      <w:i/>
      <w:iCs/>
      <w:sz w:val="18"/>
      <w:szCs w:val="18"/>
      <w:lang w:val="en-US" w:eastAsia="en-US"/>
    </w:rPr>
  </w:style>
  <w:style w:type="character" w:styleId="Hipercze">
    <w:name w:val="Hyperlink"/>
    <w:uiPriority w:val="99"/>
    <w:rsid w:val="0091114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14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1114C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911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91114C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111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4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1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1114C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1114C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uiPriority w:val="99"/>
    <w:rsid w:val="0091114C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9111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9111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przypisudolnego">
    <w:name w:val="footnote reference"/>
    <w:uiPriority w:val="99"/>
    <w:unhideWhenUsed/>
    <w:rsid w:val="00F7610A"/>
    <w:rPr>
      <w:vertAlign w:val="superscript"/>
    </w:rPr>
  </w:style>
  <w:style w:type="paragraph" w:customStyle="1" w:styleId="TAL">
    <w:name w:val="TAL"/>
    <w:basedOn w:val="Normalny"/>
    <w:uiPriority w:val="99"/>
    <w:rsid w:val="003533CC"/>
    <w:pPr>
      <w:keepNext/>
      <w:keepLines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z w:val="18"/>
      <w:lang w:val="en-GB"/>
    </w:rPr>
  </w:style>
  <w:style w:type="paragraph" w:styleId="Poprawka">
    <w:name w:val="Revision"/>
    <w:hidden/>
    <w:uiPriority w:val="99"/>
    <w:semiHidden/>
    <w:rsid w:val="00282C7B"/>
    <w:rPr>
      <w:rFonts w:ascii="Verdana" w:eastAsia="Times New Roman" w:hAnsi="Verdana" w:cs="Verdana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82C7B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82C7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zykladXML">
    <w:name w:val="PrzykladXML"/>
    <w:basedOn w:val="Normalny"/>
    <w:link w:val="PrzykladXMLZnak"/>
    <w:uiPriority w:val="99"/>
    <w:qFormat/>
    <w:rsid w:val="00984FA9"/>
    <w:pPr>
      <w:spacing w:line="240" w:lineRule="auto"/>
      <w:ind w:left="11" w:hanging="11"/>
    </w:pPr>
    <w:rPr>
      <w:rFonts w:ascii="Arial" w:hAnsi="Arial" w:cs="Times New Roman"/>
      <w:sz w:val="16"/>
      <w:szCs w:val="16"/>
      <w:lang w:val="en-US"/>
    </w:rPr>
  </w:style>
  <w:style w:type="character" w:customStyle="1" w:styleId="PrzykladXMLZnak">
    <w:name w:val="PrzykladXML Znak"/>
    <w:link w:val="PrzykladXML"/>
    <w:uiPriority w:val="99"/>
    <w:rsid w:val="00984FA9"/>
    <w:rPr>
      <w:rFonts w:ascii="Arial" w:eastAsia="Times New Roman" w:hAnsi="Arial" w:cs="Arial"/>
      <w:sz w:val="16"/>
      <w:szCs w:val="16"/>
      <w:lang w:val="en-US" w:eastAsia="en-US"/>
    </w:rPr>
  </w:style>
  <w:style w:type="character" w:styleId="UyteHipercze">
    <w:name w:val="FollowedHyperlink"/>
    <w:uiPriority w:val="99"/>
    <w:rsid w:val="006106F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1D0"/>
    <w:pPr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74D2A"/>
    <w:pPr>
      <w:keepLines/>
      <w:numPr>
        <w:numId w:val="0"/>
      </w:num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6F01"/>
    <w:pPr>
      <w:spacing w:before="240" w:line="240" w:lineRule="auto"/>
      <w:ind w:left="0"/>
      <w:jc w:val="left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3210F"/>
    <w:pPr>
      <w:tabs>
        <w:tab w:val="right" w:leader="dot" w:pos="9062"/>
      </w:tabs>
      <w:spacing w:before="120" w:line="240" w:lineRule="auto"/>
      <w:ind w:left="0"/>
      <w:jc w:val="left"/>
    </w:pPr>
    <w:rPr>
      <w:rFonts w:ascii="Calibri" w:hAnsi="Calibri"/>
      <w:b/>
      <w:bC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1516"/>
    <w:pPr>
      <w:spacing w:line="240" w:lineRule="auto"/>
      <w:ind w:left="199"/>
      <w:jc w:val="left"/>
    </w:pPr>
    <w:rPr>
      <w:rFonts w:ascii="Calibri" w:hAnsi="Calibri"/>
      <w:sz w:val="22"/>
    </w:rPr>
  </w:style>
  <w:style w:type="paragraph" w:customStyle="1" w:styleId="Nagwek21">
    <w:name w:val="Nagłówek 2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val="en-AU"/>
    </w:rPr>
  </w:style>
  <w:style w:type="paragraph" w:customStyle="1" w:styleId="Nagwek31">
    <w:name w:val="Nagłówek 3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shd w:val="clear" w:color="auto" w:fill="FFFFFF"/>
      <w:lang w:val="en-AU"/>
    </w:rPr>
  </w:style>
  <w:style w:type="paragraph" w:styleId="Zwykytekst">
    <w:name w:val="Plain Text"/>
    <w:basedOn w:val="Normalny"/>
    <w:next w:val="Normalny"/>
    <w:link w:val="ZwykytekstZnak"/>
    <w:uiPriority w:val="99"/>
    <w:rsid w:val="00DA270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hd w:val="clear" w:color="auto" w:fill="FFFFFF"/>
      <w:lang w:val="en-AU"/>
    </w:rPr>
  </w:style>
  <w:style w:type="character" w:customStyle="1" w:styleId="ZwykytekstZnak">
    <w:name w:val="Zwykły tekst Znak"/>
    <w:link w:val="Zwykytekst"/>
    <w:uiPriority w:val="99"/>
    <w:rsid w:val="00DA2702"/>
    <w:rPr>
      <w:rFonts w:ascii="Arial" w:eastAsia="Times New Roman" w:hAnsi="Arial" w:cs="Arial"/>
      <w:lang w:val="en-AU"/>
    </w:rPr>
  </w:style>
  <w:style w:type="paragraph" w:customStyle="1" w:styleId="Akapitzlist1">
    <w:name w:val="Akapit z listą1"/>
    <w:basedOn w:val="Normalny"/>
    <w:uiPriority w:val="99"/>
    <w:rsid w:val="0014760D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4"/>
      <w:szCs w:val="22"/>
    </w:rPr>
  </w:style>
  <w:style w:type="paragraph" w:customStyle="1" w:styleId="Akapitzlist3">
    <w:name w:val="Akapit z listą3"/>
    <w:basedOn w:val="Akapitzlist1"/>
    <w:uiPriority w:val="99"/>
    <w:rsid w:val="00C11950"/>
  </w:style>
  <w:style w:type="paragraph" w:styleId="Spistreci4">
    <w:name w:val="toc 4"/>
    <w:basedOn w:val="Normalny"/>
    <w:next w:val="Normalny"/>
    <w:autoRedefine/>
    <w:uiPriority w:val="99"/>
    <w:unhideWhenUsed/>
    <w:rsid w:val="00170818"/>
    <w:pPr>
      <w:ind w:left="400"/>
      <w:jc w:val="left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unhideWhenUsed/>
    <w:rsid w:val="00170818"/>
    <w:pPr>
      <w:ind w:left="600"/>
      <w:jc w:val="left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unhideWhenUsed/>
    <w:rsid w:val="00170818"/>
    <w:pPr>
      <w:ind w:left="800"/>
      <w:jc w:val="left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unhideWhenUsed/>
    <w:rsid w:val="00170818"/>
    <w:pPr>
      <w:ind w:left="1000"/>
      <w:jc w:val="left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unhideWhenUsed/>
    <w:rsid w:val="00170818"/>
    <w:pPr>
      <w:ind w:left="1200"/>
      <w:jc w:val="left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unhideWhenUsed/>
    <w:rsid w:val="00170818"/>
    <w:pPr>
      <w:ind w:left="1400"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unhideWhenUsed/>
    <w:rsid w:val="007E6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6C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6C3D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C3D"/>
    <w:rPr>
      <w:rFonts w:ascii="Verdana" w:eastAsia="Times New Roman" w:hAnsi="Verdana" w:cs="Verdana"/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A97"/>
    <w:rPr>
      <w:rFonts w:ascii="Verdana" w:eastAsia="Times New Roman" w:hAnsi="Verdan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5A9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4F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5A97"/>
    <w:rPr>
      <w:rFonts w:ascii="Courier New" w:eastAsia="Times New Roman" w:hAnsi="Courier New"/>
      <w:lang w:eastAsia="en-US"/>
    </w:rPr>
  </w:style>
  <w:style w:type="character" w:customStyle="1" w:styleId="m1">
    <w:name w:val="m1"/>
    <w:rsid w:val="004F5A97"/>
    <w:rPr>
      <w:rFonts w:cs="Times New Roman"/>
      <w:color w:val="0000FF"/>
    </w:rPr>
  </w:style>
  <w:style w:type="paragraph" w:styleId="Tekstpodstawowy3">
    <w:name w:val="Body Text 3"/>
    <w:basedOn w:val="Normalny"/>
    <w:link w:val="Tekstpodstawowy3Znak"/>
    <w:uiPriority w:val="99"/>
    <w:rsid w:val="004F5A97"/>
    <w:pPr>
      <w:spacing w:after="120" w:line="240" w:lineRule="auto"/>
      <w:ind w:left="0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A97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tekstpodstawowynumerowany">
    <w:name w:val="tekst podstawowy numerowany"/>
    <w:basedOn w:val="Normalny"/>
    <w:link w:val="tekstpodstawowynumerowanyZnak"/>
    <w:uiPriority w:val="99"/>
    <w:qFormat/>
    <w:rsid w:val="004F5A97"/>
    <w:pPr>
      <w:spacing w:before="120" w:line="300" w:lineRule="auto"/>
      <w:ind w:left="0" w:firstLine="0"/>
    </w:pPr>
    <w:rPr>
      <w:rFonts w:ascii="Arial" w:hAnsi="Arial" w:cs="Arial"/>
      <w:lang w:eastAsia="pl-PL"/>
    </w:rPr>
  </w:style>
  <w:style w:type="character" w:customStyle="1" w:styleId="tekstpodstawowynumerowanyZnak">
    <w:name w:val="tekst podstawowy numerowany Znak"/>
    <w:link w:val="tekstpodstawowynumerowany"/>
    <w:uiPriority w:val="99"/>
    <w:rsid w:val="004F5A97"/>
    <w:rPr>
      <w:rFonts w:ascii="Arial" w:eastAsia="Times New Roman" w:hAnsi="Arial" w:cs="Arial"/>
    </w:rPr>
  </w:style>
  <w:style w:type="paragraph" w:styleId="Lista2">
    <w:name w:val="List 2"/>
    <w:basedOn w:val="Normalny"/>
    <w:uiPriority w:val="99"/>
    <w:rsid w:val="00112198"/>
    <w:pPr>
      <w:spacing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1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1E58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przypisukocowego">
    <w:name w:val="endnote reference"/>
    <w:basedOn w:val="Domylnaczcionkaakapitu"/>
    <w:uiPriority w:val="99"/>
    <w:semiHidden/>
    <w:rsid w:val="00FF428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91114C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14C"/>
    <w:pPr>
      <w:keepNext/>
      <w:numPr>
        <w:numId w:val="1"/>
      </w:numPr>
      <w:pBdr>
        <w:top w:val="single" w:sz="12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0"/>
    </w:pPr>
    <w:rPr>
      <w:rFonts w:cs="Times New Roman"/>
      <w:color w:val="003366"/>
      <w:kern w:val="28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14C"/>
    <w:pPr>
      <w:keepNext/>
      <w:keepLines/>
      <w:numPr>
        <w:ilvl w:val="1"/>
        <w:numId w:val="1"/>
      </w:numPr>
      <w:pBdr>
        <w:top w:val="single" w:sz="4" w:space="1" w:color="003366"/>
      </w:pBd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1"/>
    </w:pPr>
    <w:rPr>
      <w:rFonts w:cs="Times New Roman"/>
      <w:color w:val="003366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11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2"/>
    </w:pPr>
    <w:rPr>
      <w:rFonts w:cs="Times New Roman"/>
      <w:color w:val="003366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114C"/>
    <w:pPr>
      <w:keepNext/>
      <w:numPr>
        <w:ilvl w:val="3"/>
        <w:numId w:val="1"/>
      </w:numPr>
      <w:tabs>
        <w:tab w:val="left" w:pos="1560"/>
      </w:tabs>
      <w:spacing w:before="240" w:after="60" w:line="300" w:lineRule="atLeast"/>
      <w:outlineLvl w:val="3"/>
    </w:pPr>
    <w:rPr>
      <w:rFonts w:cs="Times New Roman"/>
      <w:bCs/>
      <w:color w:val="003366"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114C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20" w:after="20"/>
      <w:textAlignment w:val="baseline"/>
      <w:outlineLvl w:val="4"/>
    </w:pPr>
    <w:rPr>
      <w:rFonts w:cs="Times New Roman"/>
      <w:iCs/>
      <w:color w:val="0033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114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5"/>
    </w:pPr>
    <w:rPr>
      <w:rFonts w:cs="Times New Roman"/>
      <w:i/>
      <w:i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114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6"/>
    </w:pPr>
    <w:rPr>
      <w:rFonts w:ascii="Arial" w:hAnsi="Arial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114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7"/>
    </w:pPr>
    <w:rPr>
      <w:rFonts w:ascii="Arial" w:hAnsi="Arial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114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00" w:lineRule="atLeast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1114C"/>
    <w:rPr>
      <w:rFonts w:ascii="Verdana" w:eastAsia="Times New Roman" w:hAnsi="Verdana"/>
      <w:color w:val="003366"/>
      <w:kern w:val="28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9"/>
    <w:rsid w:val="0091114C"/>
    <w:rPr>
      <w:rFonts w:ascii="Verdana" w:eastAsia="Times New Roman" w:hAnsi="Verdana"/>
      <w:color w:val="003366"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91114C"/>
    <w:rPr>
      <w:rFonts w:ascii="Verdana" w:eastAsia="Times New Roman" w:hAnsi="Verdana"/>
      <w:bCs/>
      <w:color w:val="003366"/>
      <w:sz w:val="22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91114C"/>
    <w:rPr>
      <w:rFonts w:ascii="Verdana" w:eastAsia="Times New Roman" w:hAnsi="Verdana"/>
      <w:iCs/>
      <w:color w:val="003366"/>
      <w:lang w:eastAsia="en-US"/>
    </w:rPr>
  </w:style>
  <w:style w:type="character" w:customStyle="1" w:styleId="Nagwek6Znak">
    <w:name w:val="Nagłówek 6 Znak"/>
    <w:link w:val="Nagwek6"/>
    <w:uiPriority w:val="99"/>
    <w:rsid w:val="0091114C"/>
    <w:rPr>
      <w:rFonts w:ascii="Verdana" w:eastAsia="Times New Roman" w:hAnsi="Verdana"/>
      <w:i/>
      <w:iCs/>
      <w:lang w:val="en-US" w:eastAsia="en-US"/>
    </w:rPr>
  </w:style>
  <w:style w:type="character" w:customStyle="1" w:styleId="Nagwek7Znak">
    <w:name w:val="Nagłówek 7 Znak"/>
    <w:link w:val="Nagwek7"/>
    <w:uiPriority w:val="99"/>
    <w:rsid w:val="0091114C"/>
    <w:rPr>
      <w:rFonts w:ascii="Arial" w:eastAsia="Times New Roman" w:hAnsi="Arial"/>
      <w:lang w:val="en-US" w:eastAsia="en-US"/>
    </w:rPr>
  </w:style>
  <w:style w:type="character" w:customStyle="1" w:styleId="Nagwek8Znak">
    <w:name w:val="Nagłówek 8 Znak"/>
    <w:link w:val="Nagwek8"/>
    <w:uiPriority w:val="99"/>
    <w:rsid w:val="0091114C"/>
    <w:rPr>
      <w:rFonts w:ascii="Arial" w:eastAsia="Times New Roman" w:hAnsi="Arial"/>
      <w:i/>
      <w:iCs/>
      <w:lang w:val="en-US" w:eastAsia="en-US"/>
    </w:rPr>
  </w:style>
  <w:style w:type="character" w:customStyle="1" w:styleId="Nagwek9Znak">
    <w:name w:val="Nagłówek 9 Znak"/>
    <w:link w:val="Nagwek9"/>
    <w:uiPriority w:val="99"/>
    <w:rsid w:val="0091114C"/>
    <w:rPr>
      <w:rFonts w:ascii="Arial" w:eastAsia="Times New Roman" w:hAnsi="Arial"/>
      <w:b/>
      <w:bCs/>
      <w:i/>
      <w:iCs/>
      <w:sz w:val="18"/>
      <w:szCs w:val="18"/>
      <w:lang w:val="en-US" w:eastAsia="en-US"/>
    </w:rPr>
  </w:style>
  <w:style w:type="character" w:styleId="Hipercze">
    <w:name w:val="Hyperlink"/>
    <w:uiPriority w:val="99"/>
    <w:rsid w:val="0091114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14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1114C"/>
    <w:pPr>
      <w:spacing w:line="240" w:lineRule="auto"/>
      <w:ind w:left="0" w:firstLine="0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911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91114C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1114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14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1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1114C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114C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1114C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uiPriority w:val="99"/>
    <w:rsid w:val="0091114C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9111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9111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przypisudolnego">
    <w:name w:val="footnote reference"/>
    <w:uiPriority w:val="99"/>
    <w:unhideWhenUsed/>
    <w:rsid w:val="00F7610A"/>
    <w:rPr>
      <w:vertAlign w:val="superscript"/>
    </w:rPr>
  </w:style>
  <w:style w:type="paragraph" w:customStyle="1" w:styleId="TAL">
    <w:name w:val="TAL"/>
    <w:basedOn w:val="Normalny"/>
    <w:uiPriority w:val="99"/>
    <w:rsid w:val="003533CC"/>
    <w:pPr>
      <w:keepNext/>
      <w:keepLines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z w:val="18"/>
      <w:lang w:val="en-GB"/>
    </w:rPr>
  </w:style>
  <w:style w:type="paragraph" w:styleId="Poprawka">
    <w:name w:val="Revision"/>
    <w:hidden/>
    <w:uiPriority w:val="99"/>
    <w:semiHidden/>
    <w:rsid w:val="00282C7B"/>
    <w:rPr>
      <w:rFonts w:ascii="Verdana" w:eastAsia="Times New Roman" w:hAnsi="Verdana" w:cs="Verdana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82C7B"/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82C7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zykladXML">
    <w:name w:val="PrzykladXML"/>
    <w:basedOn w:val="Normalny"/>
    <w:link w:val="PrzykladXMLZnak"/>
    <w:uiPriority w:val="99"/>
    <w:qFormat/>
    <w:rsid w:val="00984FA9"/>
    <w:pPr>
      <w:spacing w:line="240" w:lineRule="auto"/>
      <w:ind w:left="11" w:hanging="11"/>
    </w:pPr>
    <w:rPr>
      <w:rFonts w:ascii="Arial" w:hAnsi="Arial" w:cs="Times New Roman"/>
      <w:sz w:val="16"/>
      <w:szCs w:val="16"/>
      <w:lang w:val="en-US"/>
    </w:rPr>
  </w:style>
  <w:style w:type="character" w:customStyle="1" w:styleId="PrzykladXMLZnak">
    <w:name w:val="PrzykladXML Znak"/>
    <w:link w:val="PrzykladXML"/>
    <w:uiPriority w:val="99"/>
    <w:rsid w:val="00984FA9"/>
    <w:rPr>
      <w:rFonts w:ascii="Arial" w:eastAsia="Times New Roman" w:hAnsi="Arial" w:cs="Arial"/>
      <w:sz w:val="16"/>
      <w:szCs w:val="16"/>
      <w:lang w:val="en-US" w:eastAsia="en-US"/>
    </w:rPr>
  </w:style>
  <w:style w:type="character" w:styleId="Uytehipercze">
    <w:name w:val="FollowedHyperlink"/>
    <w:uiPriority w:val="99"/>
    <w:rsid w:val="006106F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1D0"/>
    <w:pPr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74D2A"/>
    <w:pPr>
      <w:keepLines/>
      <w:numPr>
        <w:numId w:val="0"/>
      </w:num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6F01"/>
    <w:pPr>
      <w:spacing w:before="240" w:line="240" w:lineRule="auto"/>
      <w:ind w:left="0"/>
      <w:jc w:val="left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3210F"/>
    <w:pPr>
      <w:tabs>
        <w:tab w:val="right" w:leader="dot" w:pos="9062"/>
      </w:tabs>
      <w:spacing w:before="120" w:line="240" w:lineRule="auto"/>
      <w:ind w:left="0"/>
      <w:jc w:val="left"/>
    </w:pPr>
    <w:rPr>
      <w:rFonts w:ascii="Calibri" w:hAnsi="Calibri"/>
      <w:b/>
      <w:bC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1516"/>
    <w:pPr>
      <w:spacing w:line="240" w:lineRule="auto"/>
      <w:ind w:left="199"/>
      <w:jc w:val="left"/>
    </w:pPr>
    <w:rPr>
      <w:rFonts w:ascii="Calibri" w:hAnsi="Calibri"/>
      <w:sz w:val="22"/>
    </w:rPr>
  </w:style>
  <w:style w:type="paragraph" w:customStyle="1" w:styleId="Nagwek21">
    <w:name w:val="Nagłówek 2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val="en-AU"/>
    </w:rPr>
  </w:style>
  <w:style w:type="paragraph" w:customStyle="1" w:styleId="Nagwek31">
    <w:name w:val="Nagłówek 31"/>
    <w:next w:val="Normalny"/>
    <w:uiPriority w:val="99"/>
    <w:rsid w:val="00DA2702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shd w:val="clear" w:color="auto" w:fill="FFFFFF"/>
      <w:lang w:val="en-AU"/>
    </w:rPr>
  </w:style>
  <w:style w:type="paragraph" w:styleId="Zwykytekst">
    <w:name w:val="Plain Text"/>
    <w:basedOn w:val="Normalny"/>
    <w:next w:val="Normalny"/>
    <w:link w:val="ZwykytekstZnak"/>
    <w:uiPriority w:val="99"/>
    <w:rsid w:val="00DA270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Times New Roman"/>
      <w:shd w:val="clear" w:color="auto" w:fill="FFFFFF"/>
      <w:lang w:val="en-AU"/>
    </w:rPr>
  </w:style>
  <w:style w:type="character" w:customStyle="1" w:styleId="ZwykytekstZnak">
    <w:name w:val="Zwykły tekst Znak"/>
    <w:link w:val="Zwykytekst"/>
    <w:uiPriority w:val="99"/>
    <w:rsid w:val="00DA2702"/>
    <w:rPr>
      <w:rFonts w:ascii="Arial" w:eastAsia="Times New Roman" w:hAnsi="Arial" w:cs="Arial"/>
      <w:lang w:val="en-AU"/>
    </w:rPr>
  </w:style>
  <w:style w:type="paragraph" w:customStyle="1" w:styleId="Akapitzlist1">
    <w:name w:val="Akapit z listą1"/>
    <w:basedOn w:val="Normalny"/>
    <w:uiPriority w:val="99"/>
    <w:rsid w:val="0014760D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4"/>
      <w:szCs w:val="22"/>
    </w:rPr>
  </w:style>
  <w:style w:type="paragraph" w:customStyle="1" w:styleId="Akapitzlist3">
    <w:name w:val="Akapit z listą3"/>
    <w:basedOn w:val="Akapitzlist1"/>
    <w:uiPriority w:val="99"/>
    <w:rsid w:val="00C11950"/>
  </w:style>
  <w:style w:type="paragraph" w:styleId="Spistreci4">
    <w:name w:val="toc 4"/>
    <w:basedOn w:val="Normalny"/>
    <w:next w:val="Normalny"/>
    <w:autoRedefine/>
    <w:uiPriority w:val="99"/>
    <w:unhideWhenUsed/>
    <w:rsid w:val="00170818"/>
    <w:pPr>
      <w:ind w:left="400"/>
      <w:jc w:val="left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unhideWhenUsed/>
    <w:rsid w:val="00170818"/>
    <w:pPr>
      <w:ind w:left="600"/>
      <w:jc w:val="left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unhideWhenUsed/>
    <w:rsid w:val="00170818"/>
    <w:pPr>
      <w:ind w:left="800"/>
      <w:jc w:val="left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unhideWhenUsed/>
    <w:rsid w:val="00170818"/>
    <w:pPr>
      <w:ind w:left="1000"/>
      <w:jc w:val="left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unhideWhenUsed/>
    <w:rsid w:val="00170818"/>
    <w:pPr>
      <w:ind w:left="1200"/>
      <w:jc w:val="left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unhideWhenUsed/>
    <w:rsid w:val="00170818"/>
    <w:pPr>
      <w:ind w:left="1400"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unhideWhenUsed/>
    <w:rsid w:val="007E6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6C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6C3D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C3D"/>
    <w:rPr>
      <w:rFonts w:ascii="Verdana" w:eastAsia="Times New Roman" w:hAnsi="Verdana" w:cs="Verdana"/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A97"/>
    <w:rPr>
      <w:rFonts w:ascii="Verdana" w:eastAsia="Times New Roman" w:hAnsi="Verdan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5A9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4F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5A97"/>
    <w:rPr>
      <w:rFonts w:ascii="Courier New" w:eastAsia="Times New Roman" w:hAnsi="Courier New"/>
      <w:lang w:eastAsia="en-US"/>
    </w:rPr>
  </w:style>
  <w:style w:type="character" w:customStyle="1" w:styleId="m1">
    <w:name w:val="m1"/>
    <w:rsid w:val="004F5A97"/>
    <w:rPr>
      <w:rFonts w:cs="Times New Roman"/>
      <w:color w:val="0000FF"/>
    </w:rPr>
  </w:style>
  <w:style w:type="paragraph" w:styleId="Tekstpodstawowy3">
    <w:name w:val="Body Text 3"/>
    <w:basedOn w:val="Normalny"/>
    <w:link w:val="Tekstpodstawowy3Znak"/>
    <w:uiPriority w:val="99"/>
    <w:rsid w:val="004F5A97"/>
    <w:pPr>
      <w:spacing w:after="120" w:line="240" w:lineRule="auto"/>
      <w:ind w:left="0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A97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tekstpodstawowynumerowany">
    <w:name w:val="tekst podstawowy numerowany"/>
    <w:basedOn w:val="Normalny"/>
    <w:link w:val="tekstpodstawowynumerowanyZnak"/>
    <w:uiPriority w:val="99"/>
    <w:qFormat/>
    <w:rsid w:val="004F5A97"/>
    <w:pPr>
      <w:spacing w:before="120" w:line="300" w:lineRule="auto"/>
      <w:ind w:left="0" w:firstLine="0"/>
    </w:pPr>
    <w:rPr>
      <w:rFonts w:ascii="Arial" w:hAnsi="Arial" w:cs="Arial"/>
      <w:lang w:eastAsia="pl-PL"/>
    </w:rPr>
  </w:style>
  <w:style w:type="character" w:customStyle="1" w:styleId="tekstpodstawowynumerowanyZnak">
    <w:name w:val="tekst podstawowy numerowany Znak"/>
    <w:link w:val="tekstpodstawowynumerowany"/>
    <w:uiPriority w:val="99"/>
    <w:rsid w:val="004F5A97"/>
    <w:rPr>
      <w:rFonts w:ascii="Arial" w:eastAsia="Times New Roman" w:hAnsi="Arial" w:cs="Arial"/>
    </w:rPr>
  </w:style>
  <w:style w:type="paragraph" w:styleId="Lista2">
    <w:name w:val="List 2"/>
    <w:basedOn w:val="Normalny"/>
    <w:uiPriority w:val="99"/>
    <w:rsid w:val="00112198"/>
    <w:pPr>
      <w:spacing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table" w:styleId="Siatkatabeli">
    <w:name w:val="Table Grid"/>
    <w:basedOn w:val="Standardowy"/>
    <w:uiPriority w:val="99"/>
    <w:rsid w:val="001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1E58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przypisukocowego">
    <w:name w:val="endnote reference"/>
    <w:basedOn w:val="Domylnaczcionkaakapitu"/>
    <w:uiPriority w:val="99"/>
    <w:semiHidden/>
    <w:rsid w:val="00FF42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.WLR1DR@orange.com" TargetMode="External"/><Relationship Id="rId13" Type="http://schemas.openxmlformats.org/officeDocument/2006/relationships/hyperlink" Target="mailto:NP.WLR1DR@orange.com" TargetMode="External"/><Relationship Id="rId18" Type="http://schemas.openxmlformats.org/officeDocument/2006/relationships/hyperlink" Target="mailto:NP.WLR@orang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NP.zamowienia@orange.com" TargetMode="External"/><Relationship Id="rId17" Type="http://schemas.openxmlformats.org/officeDocument/2006/relationships/hyperlink" Target="mailto:NP.WLR1DR@orang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P.zamowienia@orange.com" TargetMode="External"/><Relationship Id="rId20" Type="http://schemas.openxmlformats.org/officeDocument/2006/relationships/image" Target="media/image2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1.DR@orange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NP1.DR@orange.com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mailto:NP.zam&#243;wienia@orange.com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P1.DR@orange.com" TargetMode="External"/><Relationship Id="rId14" Type="http://schemas.openxmlformats.org/officeDocument/2006/relationships/hyperlink" Target="mailto:NP.WLR@orange.com" TargetMode="External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B846-D958-43B0-9630-91CCEC84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Interfejs Operatorzy - PLI CBD</vt:lpstr>
    </vt:vector>
  </TitlesOfParts>
  <Company>Microsoft</Company>
  <LinksUpToDate>false</LinksUpToDate>
  <CharactersWithSpaces>37185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Interfejs Operatorzy - PLI CBD</dc:title>
  <dc:creator>Piotr Naszkowski</dc:creator>
  <cp:lastModifiedBy>lukasz cieciera</cp:lastModifiedBy>
  <cp:revision>4</cp:revision>
  <cp:lastPrinted>2015-01-29T08:34:00Z</cp:lastPrinted>
  <dcterms:created xsi:type="dcterms:W3CDTF">2015-01-28T11:51:00Z</dcterms:created>
  <dcterms:modified xsi:type="dcterms:W3CDTF">2015-01-29T08:34:00Z</dcterms:modified>
</cp:coreProperties>
</file>