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4C" w:rsidRPr="00711BDB" w:rsidRDefault="006D7AE1" w:rsidP="0091114C">
      <w:pPr>
        <w:pStyle w:val="Tytu"/>
        <w:pBdr>
          <w:bottom w:val="none" w:sz="0" w:space="0" w:color="auto"/>
        </w:pBdr>
        <w:ind w:left="0" w:firstLine="0"/>
        <w:rPr>
          <w:rFonts w:ascii="Arial" w:hAnsi="Arial" w:cs="Arial"/>
        </w:rPr>
      </w:pPr>
      <w:bookmarkStart w:id="0" w:name="_Toc254345144"/>
      <w:bookmarkStart w:id="1" w:name="_Toc255547841"/>
      <w:r>
        <w:rPr>
          <w:rFonts w:ascii="Arial" w:hAnsi="Arial" w:cs="Arial"/>
        </w:rPr>
        <w:t xml:space="preserve"> </w:t>
      </w:r>
      <w:r w:rsidR="002B7612">
        <w:rPr>
          <w:rFonts w:ascii="Arial" w:hAnsi="Arial" w:cs="Arial"/>
        </w:rPr>
        <w:t xml:space="preserve"> </w:t>
      </w:r>
    </w:p>
    <w:p w:rsidR="0091114C" w:rsidRPr="00711BDB" w:rsidRDefault="0091114C" w:rsidP="0091114C">
      <w:pPr>
        <w:pStyle w:val="Tytu"/>
        <w:pBdr>
          <w:bottom w:val="none" w:sz="0" w:space="0" w:color="auto"/>
        </w:pBdr>
        <w:ind w:left="0" w:firstLine="0"/>
        <w:rPr>
          <w:rFonts w:ascii="Arial" w:hAnsi="Arial" w:cs="Arial"/>
        </w:rPr>
      </w:pPr>
    </w:p>
    <w:p w:rsidR="0091114C" w:rsidRPr="00711BDB" w:rsidRDefault="0091114C" w:rsidP="0091114C">
      <w:pPr>
        <w:pStyle w:val="Tytu"/>
        <w:pBdr>
          <w:bottom w:val="none" w:sz="0" w:space="0" w:color="auto"/>
        </w:pBdr>
        <w:ind w:left="0" w:firstLine="0"/>
        <w:rPr>
          <w:rFonts w:ascii="Arial" w:hAnsi="Arial" w:cs="Arial"/>
        </w:rPr>
      </w:pPr>
    </w:p>
    <w:p w:rsidR="0091114C" w:rsidRPr="00AB230B" w:rsidRDefault="00995CA3" w:rsidP="006D697F">
      <w:pPr>
        <w:pStyle w:val="Tytu"/>
        <w:pBdr>
          <w:bottom w:val="none" w:sz="0" w:space="0" w:color="auto"/>
        </w:pBdr>
        <w:tabs>
          <w:tab w:val="left" w:pos="3073"/>
          <w:tab w:val="left" w:pos="3165"/>
        </w:tabs>
        <w:ind w:left="0" w:firstLine="0"/>
        <w:rPr>
          <w:rFonts w:ascii="Arial" w:hAnsi="Arial" w:cs="Arial"/>
        </w:rPr>
      </w:pPr>
      <w:r>
        <w:rPr>
          <w:rFonts w:ascii="Arial" w:hAnsi="Arial" w:cs="Arial"/>
        </w:rPr>
        <w:t xml:space="preserve"> </w:t>
      </w:r>
      <w:r w:rsidR="006D697F">
        <w:rPr>
          <w:rFonts w:ascii="Arial" w:hAnsi="Arial" w:cs="Arial"/>
        </w:rPr>
        <w:tab/>
      </w:r>
      <w:r w:rsidR="006D697F">
        <w:rPr>
          <w:rFonts w:ascii="Arial" w:hAnsi="Arial" w:cs="Arial"/>
        </w:rPr>
        <w:tab/>
      </w:r>
    </w:p>
    <w:p w:rsidR="00DA130D" w:rsidRPr="00430D8C" w:rsidRDefault="00DA130D" w:rsidP="00DA130D">
      <w:pPr>
        <w:rPr>
          <w:rFonts w:ascii="Calibri" w:hAnsi="Calibri" w:cs="Arial"/>
          <w:b/>
        </w:rPr>
      </w:pPr>
    </w:p>
    <w:bookmarkEnd w:id="0"/>
    <w:bookmarkEnd w:id="1"/>
    <w:p w:rsidR="0091114C" w:rsidRPr="00430D8C" w:rsidRDefault="00D907E0" w:rsidP="0091114C">
      <w:pPr>
        <w:pStyle w:val="Tytu"/>
        <w:pBdr>
          <w:bottom w:val="none" w:sz="0" w:space="0" w:color="auto"/>
        </w:pBdr>
        <w:ind w:left="0" w:firstLine="0"/>
        <w:jc w:val="center"/>
        <w:rPr>
          <w:rFonts w:ascii="Calibri" w:hAnsi="Calibri" w:cs="Arial"/>
          <w:b/>
        </w:rPr>
      </w:pPr>
      <w:r>
        <w:rPr>
          <w:rFonts w:ascii="Calibri" w:hAnsi="Calibri" w:cs="Arial"/>
          <w:b/>
        </w:rPr>
        <w:t xml:space="preserve">DP.005 </w:t>
      </w:r>
      <w:r w:rsidR="00642AC0">
        <w:rPr>
          <w:rFonts w:ascii="Calibri" w:hAnsi="Calibri" w:cs="Arial"/>
          <w:b/>
        </w:rPr>
        <w:t>Słownik terminów, skrótów i akronimów zawierający terminy, skróty i akronimy użyte we wszystkich dokumentach wytworzonych przez Wykonawcę</w:t>
      </w:r>
    </w:p>
    <w:p w:rsidR="00D93CC9" w:rsidRDefault="00D93CC9">
      <w:pPr>
        <w:spacing w:after="200" w:line="276" w:lineRule="auto"/>
        <w:ind w:left="0" w:firstLine="0"/>
        <w:jc w:val="left"/>
        <w:rPr>
          <w:rFonts w:ascii="Arial" w:hAnsi="Arial" w:cs="Arial"/>
        </w:rPr>
      </w:pPr>
    </w:p>
    <w:p w:rsidR="00D93CC9" w:rsidRDefault="00D93CC9">
      <w:pPr>
        <w:spacing w:after="200" w:line="276" w:lineRule="auto"/>
        <w:ind w:left="0" w:firstLine="0"/>
        <w:jc w:val="left"/>
        <w:rPr>
          <w:rFonts w:ascii="Arial" w:hAnsi="Arial" w:cs="Arial"/>
        </w:rPr>
      </w:pPr>
    </w:p>
    <w:p w:rsidR="00D93CC9" w:rsidRDefault="00D93CC9">
      <w:pPr>
        <w:spacing w:after="200" w:line="276" w:lineRule="auto"/>
        <w:ind w:left="0" w:firstLine="0"/>
        <w:jc w:val="left"/>
        <w:rPr>
          <w:rFonts w:ascii="Arial" w:hAnsi="Arial" w:cs="Arial"/>
        </w:rPr>
      </w:pPr>
    </w:p>
    <w:p w:rsidR="00D93CC9" w:rsidRDefault="00D93CC9">
      <w:pPr>
        <w:spacing w:after="200" w:line="276" w:lineRule="auto"/>
        <w:ind w:left="0" w:firstLine="0"/>
        <w:jc w:val="left"/>
        <w:rPr>
          <w:rFonts w:ascii="Arial" w:hAnsi="Arial" w:cs="Arial"/>
        </w:rPr>
      </w:pPr>
    </w:p>
    <w:p w:rsidR="00D93CC9" w:rsidRDefault="00D93CC9">
      <w:pPr>
        <w:spacing w:after="200" w:line="276" w:lineRule="auto"/>
        <w:ind w:left="0" w:firstLine="0"/>
        <w:jc w:val="left"/>
        <w:rPr>
          <w:rFonts w:ascii="Arial" w:hAnsi="Arial" w:cs="Arial"/>
        </w:rPr>
      </w:pPr>
    </w:p>
    <w:p w:rsidR="00D93CC9" w:rsidRDefault="00D93CC9">
      <w:pPr>
        <w:spacing w:after="200" w:line="276" w:lineRule="auto"/>
        <w:ind w:left="0" w:firstLine="0"/>
        <w:jc w:val="left"/>
        <w:rPr>
          <w:rFonts w:ascii="Arial" w:hAnsi="Arial" w:cs="Arial"/>
        </w:rPr>
      </w:pPr>
    </w:p>
    <w:p w:rsidR="00D93CC9" w:rsidRDefault="00D93CC9">
      <w:pPr>
        <w:spacing w:after="200" w:line="276" w:lineRule="auto"/>
        <w:ind w:left="0" w:firstLine="0"/>
        <w:jc w:val="left"/>
        <w:rPr>
          <w:rFonts w:ascii="Arial" w:hAnsi="Arial" w:cs="Arial"/>
        </w:rPr>
      </w:pPr>
    </w:p>
    <w:p w:rsidR="00D93CC9" w:rsidRDefault="00D93CC9">
      <w:pPr>
        <w:spacing w:after="200" w:line="276" w:lineRule="auto"/>
        <w:ind w:left="0" w:firstLine="0"/>
        <w:jc w:val="left"/>
        <w:rPr>
          <w:rFonts w:ascii="Arial" w:hAnsi="Arial" w:cs="Arial"/>
        </w:rPr>
      </w:pPr>
    </w:p>
    <w:p w:rsidR="00D93CC9" w:rsidRDefault="00D93CC9">
      <w:pPr>
        <w:spacing w:after="200" w:line="276" w:lineRule="auto"/>
        <w:ind w:left="0" w:firstLine="0"/>
        <w:jc w:val="left"/>
        <w:rPr>
          <w:rFonts w:ascii="Arial" w:hAnsi="Arial" w:cs="Arial"/>
        </w:rPr>
      </w:pPr>
    </w:p>
    <w:p w:rsidR="00C74D2A" w:rsidRDefault="00C74D2A">
      <w:pPr>
        <w:spacing w:after="200" w:line="276" w:lineRule="auto"/>
        <w:ind w:left="0" w:firstLine="0"/>
        <w:jc w:val="left"/>
        <w:rPr>
          <w:rFonts w:ascii="Arial" w:hAnsi="Arial" w:cs="Arial"/>
        </w:rPr>
      </w:pPr>
    </w:p>
    <w:p w:rsidR="00C74D2A" w:rsidRDefault="00C74D2A">
      <w:pPr>
        <w:spacing w:after="200" w:line="276" w:lineRule="auto"/>
        <w:ind w:left="0" w:firstLine="0"/>
        <w:jc w:val="left"/>
        <w:rPr>
          <w:rFonts w:ascii="Arial" w:hAnsi="Arial" w:cs="Arial"/>
        </w:rPr>
      </w:pPr>
    </w:p>
    <w:p w:rsidR="00C74D2A" w:rsidRDefault="00C74D2A">
      <w:pPr>
        <w:spacing w:after="200" w:line="276" w:lineRule="auto"/>
        <w:ind w:left="0" w:firstLine="0"/>
        <w:jc w:val="left"/>
        <w:rPr>
          <w:rFonts w:ascii="Arial" w:hAnsi="Arial" w:cs="Arial"/>
        </w:rPr>
      </w:pPr>
    </w:p>
    <w:p w:rsidR="00C74D2A" w:rsidRDefault="00C74D2A">
      <w:pPr>
        <w:spacing w:after="200" w:line="276" w:lineRule="auto"/>
        <w:ind w:left="0" w:firstLine="0"/>
        <w:jc w:val="left"/>
        <w:rPr>
          <w:rFonts w:ascii="Arial" w:hAnsi="Arial" w:cs="Arial"/>
        </w:rPr>
      </w:pPr>
    </w:p>
    <w:p w:rsidR="00C74D2A" w:rsidRPr="00430D8C" w:rsidRDefault="00C74D2A" w:rsidP="004B4958">
      <w:pPr>
        <w:pStyle w:val="Nagwekspisutreci"/>
        <w:spacing w:before="0"/>
        <w:jc w:val="center"/>
        <w:rPr>
          <w:rFonts w:ascii="Calibri" w:hAnsi="Calibri"/>
          <w:sz w:val="32"/>
        </w:rPr>
      </w:pPr>
      <w:r w:rsidRPr="00430D8C">
        <w:rPr>
          <w:rFonts w:ascii="Calibri" w:hAnsi="Calibri"/>
          <w:sz w:val="32"/>
        </w:rPr>
        <w:t>Spis treści</w:t>
      </w:r>
    </w:p>
    <w:p w:rsidR="00C74D2A" w:rsidRPr="00430D8C" w:rsidRDefault="00C74D2A" w:rsidP="00C74D2A">
      <w:pPr>
        <w:rPr>
          <w:rFonts w:ascii="Calibri" w:hAnsi="Calibri"/>
          <w:lang w:eastAsia="pl-PL"/>
        </w:rPr>
      </w:pPr>
    </w:p>
    <w:p w:rsidR="00E7327C" w:rsidRPr="009220E3" w:rsidRDefault="006437A0">
      <w:pPr>
        <w:pStyle w:val="Spistreci1"/>
        <w:rPr>
          <w:rFonts w:ascii="Calibri" w:hAnsi="Calibri" w:cs="Times New Roman"/>
          <w:b w:val="0"/>
          <w:sz w:val="22"/>
          <w:szCs w:val="22"/>
          <w:lang w:eastAsia="pl-PL"/>
        </w:rPr>
      </w:pPr>
      <w:r w:rsidRPr="00430D8C">
        <w:rPr>
          <w:rFonts w:ascii="Calibri" w:hAnsi="Calibri"/>
        </w:rPr>
        <w:fldChar w:fldCharType="begin"/>
      </w:r>
      <w:r w:rsidR="00C74D2A" w:rsidRPr="00430D8C">
        <w:rPr>
          <w:rFonts w:ascii="Calibri" w:hAnsi="Calibri"/>
        </w:rPr>
        <w:instrText xml:space="preserve"> TOC \o "1-3" \h \z \u </w:instrText>
      </w:r>
      <w:r w:rsidRPr="00430D8C">
        <w:rPr>
          <w:rFonts w:ascii="Calibri" w:hAnsi="Calibri"/>
        </w:rPr>
        <w:fldChar w:fldCharType="separate"/>
      </w:r>
      <w:hyperlink w:anchor="_Toc397590101" w:history="1">
        <w:r w:rsidR="00E7327C" w:rsidRPr="005B3E5E">
          <w:rPr>
            <w:rStyle w:val="Hipercze"/>
            <w:rFonts w:ascii="Calibri" w:hAnsi="Calibri"/>
          </w:rPr>
          <w:t>1</w:t>
        </w:r>
        <w:r w:rsidR="00E7327C" w:rsidRPr="009220E3">
          <w:rPr>
            <w:rFonts w:ascii="Calibri" w:hAnsi="Calibri" w:cs="Times New Roman"/>
            <w:b w:val="0"/>
            <w:sz w:val="22"/>
            <w:szCs w:val="22"/>
            <w:lang w:eastAsia="pl-PL"/>
          </w:rPr>
          <w:tab/>
        </w:r>
        <w:r w:rsidR="00E7327C" w:rsidRPr="005B3E5E">
          <w:rPr>
            <w:rStyle w:val="Hipercze"/>
            <w:rFonts w:ascii="Calibri" w:hAnsi="Calibri" w:cs="Arial"/>
          </w:rPr>
          <w:t>Akty prawne – skróty</w:t>
        </w:r>
        <w:r w:rsidR="00E7327C">
          <w:rPr>
            <w:webHidden/>
          </w:rPr>
          <w:tab/>
        </w:r>
        <w:r>
          <w:rPr>
            <w:webHidden/>
          </w:rPr>
          <w:fldChar w:fldCharType="begin"/>
        </w:r>
        <w:r w:rsidR="00E7327C">
          <w:rPr>
            <w:webHidden/>
          </w:rPr>
          <w:instrText xml:space="preserve"> PAGEREF _Toc397590101 \h </w:instrText>
        </w:r>
        <w:r>
          <w:rPr>
            <w:webHidden/>
          </w:rPr>
        </w:r>
        <w:r>
          <w:rPr>
            <w:webHidden/>
          </w:rPr>
          <w:fldChar w:fldCharType="separate"/>
        </w:r>
        <w:r w:rsidR="00D30A28">
          <w:rPr>
            <w:webHidden/>
          </w:rPr>
          <w:t>3</w:t>
        </w:r>
        <w:r>
          <w:rPr>
            <w:webHidden/>
          </w:rPr>
          <w:fldChar w:fldCharType="end"/>
        </w:r>
      </w:hyperlink>
    </w:p>
    <w:p w:rsidR="00E7327C" w:rsidRPr="009220E3" w:rsidRDefault="00D30A28">
      <w:pPr>
        <w:pStyle w:val="Spistreci1"/>
        <w:rPr>
          <w:rFonts w:ascii="Calibri" w:hAnsi="Calibri" w:cs="Times New Roman"/>
          <w:b w:val="0"/>
          <w:sz w:val="22"/>
          <w:szCs w:val="22"/>
          <w:lang w:eastAsia="pl-PL"/>
        </w:rPr>
      </w:pPr>
      <w:hyperlink w:anchor="_Toc397590102" w:history="1">
        <w:r w:rsidR="00E7327C" w:rsidRPr="005B3E5E">
          <w:rPr>
            <w:rStyle w:val="Hipercze"/>
            <w:rFonts w:ascii="Calibri" w:hAnsi="Calibri"/>
          </w:rPr>
          <w:t>2</w:t>
        </w:r>
        <w:r w:rsidR="00E7327C" w:rsidRPr="009220E3">
          <w:rPr>
            <w:rFonts w:ascii="Calibri" w:hAnsi="Calibri" w:cs="Times New Roman"/>
            <w:b w:val="0"/>
            <w:sz w:val="22"/>
            <w:szCs w:val="22"/>
            <w:lang w:eastAsia="pl-PL"/>
          </w:rPr>
          <w:tab/>
        </w:r>
        <w:r w:rsidR="00E7327C" w:rsidRPr="005B3E5E">
          <w:rPr>
            <w:rStyle w:val="Hipercze"/>
            <w:rFonts w:ascii="Calibri" w:hAnsi="Calibri" w:cs="Arial"/>
          </w:rPr>
          <w:t>Terminy</w:t>
        </w:r>
        <w:r w:rsidR="00E7327C">
          <w:rPr>
            <w:webHidden/>
          </w:rPr>
          <w:tab/>
        </w:r>
        <w:r w:rsidR="006437A0">
          <w:rPr>
            <w:webHidden/>
          </w:rPr>
          <w:fldChar w:fldCharType="begin"/>
        </w:r>
        <w:r w:rsidR="00E7327C">
          <w:rPr>
            <w:webHidden/>
          </w:rPr>
          <w:instrText xml:space="preserve"> PAGEREF _Toc397590102 \h </w:instrText>
        </w:r>
        <w:r w:rsidR="006437A0">
          <w:rPr>
            <w:webHidden/>
          </w:rPr>
        </w:r>
        <w:r w:rsidR="006437A0">
          <w:rPr>
            <w:webHidden/>
          </w:rPr>
          <w:fldChar w:fldCharType="separate"/>
        </w:r>
        <w:r>
          <w:rPr>
            <w:webHidden/>
          </w:rPr>
          <w:t>6</w:t>
        </w:r>
        <w:r w:rsidR="006437A0">
          <w:rPr>
            <w:webHidden/>
          </w:rPr>
          <w:fldChar w:fldCharType="end"/>
        </w:r>
      </w:hyperlink>
    </w:p>
    <w:p w:rsidR="00C74D2A" w:rsidRDefault="006437A0">
      <w:r w:rsidRPr="00430D8C">
        <w:rPr>
          <w:rFonts w:ascii="Calibri" w:hAnsi="Calibri"/>
          <w:b/>
          <w:bCs/>
        </w:rPr>
        <w:fldChar w:fldCharType="end"/>
      </w:r>
    </w:p>
    <w:p w:rsidR="00C74D2A" w:rsidRDefault="00C74D2A">
      <w:pPr>
        <w:spacing w:after="200" w:line="276" w:lineRule="auto"/>
        <w:ind w:left="0" w:firstLine="0"/>
        <w:jc w:val="left"/>
        <w:rPr>
          <w:rFonts w:ascii="Arial" w:hAnsi="Arial" w:cs="Arial"/>
        </w:rPr>
      </w:pPr>
    </w:p>
    <w:p w:rsidR="00C74D2A" w:rsidRDefault="00C74D2A">
      <w:pPr>
        <w:spacing w:after="200" w:line="276" w:lineRule="auto"/>
        <w:ind w:left="0" w:firstLine="0"/>
        <w:jc w:val="left"/>
        <w:rPr>
          <w:rFonts w:ascii="Arial" w:hAnsi="Arial" w:cs="Arial"/>
        </w:rPr>
      </w:pPr>
    </w:p>
    <w:p w:rsidR="00C74D2A" w:rsidRDefault="00C74D2A">
      <w:pPr>
        <w:spacing w:after="200" w:line="276" w:lineRule="auto"/>
        <w:ind w:left="0" w:firstLine="0"/>
        <w:jc w:val="left"/>
        <w:rPr>
          <w:rFonts w:ascii="Arial" w:hAnsi="Arial" w:cs="Arial"/>
        </w:rPr>
      </w:pPr>
    </w:p>
    <w:p w:rsidR="004B4958" w:rsidRDefault="004B4958">
      <w:pPr>
        <w:spacing w:after="200" w:line="276" w:lineRule="auto"/>
        <w:ind w:left="0" w:firstLine="0"/>
        <w:jc w:val="left"/>
        <w:rPr>
          <w:rFonts w:ascii="Arial" w:hAnsi="Arial" w:cs="Arial"/>
        </w:rPr>
      </w:pPr>
    </w:p>
    <w:p w:rsidR="004B4958" w:rsidRDefault="004B4958">
      <w:pPr>
        <w:spacing w:after="200" w:line="276" w:lineRule="auto"/>
        <w:ind w:left="0" w:firstLine="0"/>
        <w:jc w:val="left"/>
        <w:rPr>
          <w:rFonts w:ascii="Arial" w:hAnsi="Arial" w:cs="Arial"/>
        </w:rPr>
      </w:pPr>
    </w:p>
    <w:p w:rsidR="00D30A28" w:rsidRDefault="00D30A28">
      <w:pPr>
        <w:spacing w:after="200" w:line="276" w:lineRule="auto"/>
        <w:ind w:left="0" w:firstLine="0"/>
        <w:jc w:val="left"/>
        <w:rPr>
          <w:rFonts w:ascii="Arial" w:hAnsi="Arial" w:cs="Arial"/>
        </w:rPr>
      </w:pPr>
    </w:p>
    <w:p w:rsidR="004B4958" w:rsidRDefault="004B4958">
      <w:pPr>
        <w:spacing w:after="200" w:line="276" w:lineRule="auto"/>
        <w:ind w:left="0" w:firstLine="0"/>
        <w:jc w:val="left"/>
        <w:rPr>
          <w:rFonts w:ascii="Arial" w:hAnsi="Arial" w:cs="Arial"/>
        </w:rPr>
      </w:pPr>
    </w:p>
    <w:p w:rsidR="004B4958" w:rsidRDefault="004B4958">
      <w:pPr>
        <w:spacing w:after="200" w:line="276" w:lineRule="auto"/>
        <w:ind w:left="0" w:firstLine="0"/>
        <w:jc w:val="left"/>
        <w:rPr>
          <w:rFonts w:ascii="Arial" w:hAnsi="Arial" w:cs="Arial"/>
        </w:rPr>
      </w:pPr>
    </w:p>
    <w:p w:rsidR="00C74D2A" w:rsidRDefault="00C74D2A">
      <w:pPr>
        <w:spacing w:after="200" w:line="276" w:lineRule="auto"/>
        <w:ind w:left="0" w:firstLine="0"/>
        <w:jc w:val="left"/>
        <w:rPr>
          <w:rFonts w:ascii="Arial" w:hAnsi="Arial" w:cs="Arial"/>
        </w:rPr>
      </w:pPr>
    </w:p>
    <w:p w:rsidR="00C74D2A" w:rsidRDefault="00C74D2A">
      <w:pPr>
        <w:spacing w:after="200" w:line="276" w:lineRule="auto"/>
        <w:ind w:left="0" w:firstLine="0"/>
        <w:jc w:val="left"/>
        <w:rPr>
          <w:rFonts w:ascii="Arial" w:hAnsi="Arial" w:cs="Arial"/>
        </w:rPr>
      </w:pPr>
    </w:p>
    <w:p w:rsidR="00C74D2A" w:rsidRDefault="00C74D2A">
      <w:pPr>
        <w:spacing w:after="200" w:line="276" w:lineRule="auto"/>
        <w:ind w:left="0" w:firstLine="0"/>
        <w:jc w:val="left"/>
        <w:rPr>
          <w:rFonts w:ascii="Arial" w:hAnsi="Arial" w:cs="Arial"/>
        </w:rPr>
      </w:pPr>
    </w:p>
    <w:p w:rsidR="00C74D2A" w:rsidRDefault="00C74D2A">
      <w:pPr>
        <w:spacing w:after="200" w:line="276" w:lineRule="auto"/>
        <w:ind w:left="0" w:firstLine="0"/>
        <w:jc w:val="left"/>
        <w:rPr>
          <w:rFonts w:ascii="Arial" w:hAnsi="Arial" w:cs="Arial"/>
        </w:rPr>
      </w:pPr>
    </w:p>
    <w:p w:rsidR="00C74D2A" w:rsidRDefault="00C74D2A">
      <w:pPr>
        <w:spacing w:after="200" w:line="276" w:lineRule="auto"/>
        <w:ind w:left="0" w:firstLine="0"/>
        <w:jc w:val="left"/>
        <w:rPr>
          <w:rFonts w:ascii="Arial" w:hAnsi="Arial" w:cs="Arial"/>
        </w:rPr>
      </w:pPr>
    </w:p>
    <w:p w:rsidR="00C74D2A" w:rsidRDefault="00C74D2A">
      <w:pPr>
        <w:spacing w:after="200" w:line="276" w:lineRule="auto"/>
        <w:ind w:left="0" w:firstLine="0"/>
        <w:jc w:val="left"/>
        <w:rPr>
          <w:rFonts w:ascii="Arial" w:hAnsi="Arial" w:cs="Arial"/>
        </w:rPr>
      </w:pPr>
    </w:p>
    <w:p w:rsidR="00D93CC9" w:rsidRDefault="00D93CC9">
      <w:pPr>
        <w:spacing w:after="200" w:line="276" w:lineRule="auto"/>
        <w:ind w:left="0" w:firstLine="0"/>
        <w:jc w:val="left"/>
        <w:rPr>
          <w:rFonts w:ascii="Arial" w:hAnsi="Arial" w:cs="Arial"/>
        </w:rPr>
      </w:pPr>
    </w:p>
    <w:p w:rsidR="00D93CC9" w:rsidRDefault="00D93CC9">
      <w:pPr>
        <w:spacing w:after="200" w:line="276" w:lineRule="auto"/>
        <w:ind w:left="0" w:firstLine="0"/>
        <w:jc w:val="left"/>
        <w:rPr>
          <w:rFonts w:ascii="Arial" w:hAnsi="Arial" w:cs="Arial"/>
        </w:rPr>
      </w:pPr>
    </w:p>
    <w:p w:rsidR="00D93CC9" w:rsidRDefault="00D93CC9">
      <w:pPr>
        <w:spacing w:after="200" w:line="276" w:lineRule="auto"/>
        <w:ind w:left="0" w:firstLine="0"/>
        <w:jc w:val="left"/>
        <w:rPr>
          <w:rFonts w:ascii="Arial" w:hAnsi="Arial" w:cs="Arial"/>
        </w:rPr>
      </w:pPr>
    </w:p>
    <w:p w:rsidR="00E87CA7" w:rsidRDefault="00E87CA7">
      <w:pPr>
        <w:spacing w:after="200" w:line="276" w:lineRule="auto"/>
        <w:ind w:left="0" w:firstLine="0"/>
        <w:jc w:val="left"/>
        <w:rPr>
          <w:rFonts w:ascii="Arial" w:hAnsi="Arial" w:cs="Arial"/>
        </w:rPr>
      </w:pPr>
    </w:p>
    <w:p w:rsidR="00E87CA7" w:rsidRDefault="00E87CA7">
      <w:pPr>
        <w:spacing w:after="200" w:line="276" w:lineRule="auto"/>
        <w:ind w:left="0" w:firstLine="0"/>
        <w:jc w:val="left"/>
        <w:rPr>
          <w:rFonts w:ascii="Arial" w:hAnsi="Arial" w:cs="Arial"/>
        </w:rPr>
      </w:pPr>
    </w:p>
    <w:p w:rsidR="00E87CA7" w:rsidRDefault="00E87CA7">
      <w:pPr>
        <w:spacing w:after="200" w:line="276" w:lineRule="auto"/>
        <w:ind w:left="0" w:firstLine="0"/>
        <w:jc w:val="left"/>
        <w:rPr>
          <w:rFonts w:ascii="Arial" w:hAnsi="Arial" w:cs="Arial"/>
        </w:rPr>
      </w:pPr>
    </w:p>
    <w:p w:rsidR="00E87CA7" w:rsidRDefault="00E87CA7">
      <w:pPr>
        <w:spacing w:after="200" w:line="276" w:lineRule="auto"/>
        <w:ind w:left="0" w:firstLine="0"/>
        <w:jc w:val="left"/>
        <w:rPr>
          <w:rFonts w:ascii="Arial" w:hAnsi="Arial" w:cs="Arial"/>
        </w:rPr>
      </w:pPr>
    </w:p>
    <w:p w:rsidR="00D93CC9" w:rsidRDefault="00D93CC9">
      <w:pPr>
        <w:spacing w:after="200" w:line="276" w:lineRule="auto"/>
        <w:ind w:left="0" w:firstLine="0"/>
        <w:jc w:val="left"/>
        <w:rPr>
          <w:rFonts w:ascii="Arial" w:hAnsi="Arial" w:cs="Arial"/>
        </w:rPr>
      </w:pPr>
    </w:p>
    <w:p w:rsidR="00A414A2" w:rsidRPr="00430D8C" w:rsidRDefault="00BA08B9" w:rsidP="00C74D2A">
      <w:pPr>
        <w:pStyle w:val="Nagwek1"/>
        <w:pBdr>
          <w:top w:val="none" w:sz="0" w:space="0" w:color="auto"/>
        </w:pBdr>
        <w:rPr>
          <w:rFonts w:ascii="Calibri" w:hAnsi="Calibri" w:cs="Arial"/>
          <w:b/>
          <w:color w:val="17365D"/>
          <w:lang w:val="pl-PL"/>
        </w:rPr>
      </w:pPr>
      <w:bookmarkStart w:id="2" w:name="_Toc397590101"/>
      <w:r>
        <w:rPr>
          <w:rFonts w:ascii="Calibri" w:hAnsi="Calibri" w:cs="Arial"/>
          <w:b/>
          <w:color w:val="17365D"/>
          <w:lang w:val="pl-PL"/>
        </w:rPr>
        <w:lastRenderedPageBreak/>
        <w:t>Akty prawne – skróty</w:t>
      </w:r>
      <w:bookmarkEnd w:id="2"/>
      <w:r>
        <w:rPr>
          <w:rFonts w:ascii="Calibri" w:hAnsi="Calibri" w:cs="Arial"/>
          <w:b/>
          <w:color w:val="17365D"/>
          <w:lang w:val="pl-PL"/>
        </w:rPr>
        <w:t xml:space="preserve"> </w:t>
      </w:r>
    </w:p>
    <w:p w:rsidR="00C74D2A" w:rsidRPr="00430D8C" w:rsidRDefault="00C74D2A" w:rsidP="00BA08B9">
      <w:pPr>
        <w:spacing w:line="276" w:lineRule="auto"/>
        <w:ind w:left="0" w:firstLine="0"/>
        <w:rPr>
          <w:rFonts w:ascii="Calibri" w:hAnsi="Calibri" w:cs="Arial"/>
          <w:sz w:val="28"/>
          <w:szCs w:val="24"/>
        </w:rPr>
      </w:pPr>
    </w:p>
    <w:p w:rsidR="00B41C82" w:rsidRPr="00B41C82" w:rsidRDefault="002F3B91" w:rsidP="005159A8">
      <w:pPr>
        <w:numPr>
          <w:ilvl w:val="0"/>
          <w:numId w:val="2"/>
        </w:numPr>
        <w:spacing w:before="60" w:after="60" w:line="276" w:lineRule="auto"/>
        <w:rPr>
          <w:rFonts w:ascii="Calibri" w:hAnsi="Calibri" w:cs="Times New Roman"/>
          <w:sz w:val="24"/>
          <w:szCs w:val="24"/>
          <w:lang w:eastAsia="pl-PL"/>
        </w:rPr>
      </w:pPr>
      <w:r w:rsidRPr="002F3B91">
        <w:rPr>
          <w:rFonts w:ascii="Calibri" w:hAnsi="Calibri" w:cs="Times New Roman"/>
          <w:b/>
          <w:sz w:val="24"/>
          <w:szCs w:val="24"/>
          <w:lang w:eastAsia="pl-PL"/>
        </w:rPr>
        <w:t>Dyrektywa ramowa</w:t>
      </w:r>
      <w:r>
        <w:rPr>
          <w:rFonts w:ascii="Calibri" w:hAnsi="Calibri" w:cs="Times New Roman"/>
          <w:sz w:val="24"/>
          <w:szCs w:val="24"/>
          <w:lang w:eastAsia="pl-PL"/>
        </w:rPr>
        <w:t xml:space="preserve"> - </w:t>
      </w:r>
      <w:r w:rsidR="00B41C82" w:rsidRPr="00B41C82">
        <w:rPr>
          <w:rFonts w:ascii="Calibri" w:hAnsi="Calibri" w:cs="Times New Roman"/>
          <w:sz w:val="24"/>
          <w:szCs w:val="24"/>
          <w:lang w:eastAsia="pl-PL"/>
        </w:rPr>
        <w:t>dyrektywa 2002/21/WE Parlamentu Europejskiego i Rady z dnia 7 marca 2002 r. w sprawie wspólnych ram regulacyjnych sieci i usług łączności elektronicznej (dyrektywa ramowa) (Dz.U.UE.L.2002.108.33, Dz</w:t>
      </w:r>
      <w:r w:rsidR="00DC6D60">
        <w:rPr>
          <w:rFonts w:ascii="Calibri" w:hAnsi="Calibri" w:cs="Times New Roman"/>
          <w:sz w:val="24"/>
          <w:szCs w:val="24"/>
          <w:lang w:eastAsia="pl-PL"/>
        </w:rPr>
        <w:t xml:space="preserve">.U.UE-sp.13-29-349 z </w:t>
      </w:r>
      <w:proofErr w:type="spellStart"/>
      <w:r w:rsidR="00DC6D60">
        <w:rPr>
          <w:rFonts w:ascii="Calibri" w:hAnsi="Calibri" w:cs="Times New Roman"/>
          <w:sz w:val="24"/>
          <w:szCs w:val="24"/>
          <w:lang w:eastAsia="pl-PL"/>
        </w:rPr>
        <w:t>późn</w:t>
      </w:r>
      <w:proofErr w:type="spellEnd"/>
      <w:r w:rsidR="00DC6D60">
        <w:rPr>
          <w:rFonts w:ascii="Calibri" w:hAnsi="Calibri" w:cs="Times New Roman"/>
          <w:sz w:val="24"/>
          <w:szCs w:val="24"/>
          <w:lang w:eastAsia="pl-PL"/>
        </w:rPr>
        <w:t>. zm.).</w:t>
      </w:r>
    </w:p>
    <w:p w:rsidR="00B41C82" w:rsidRPr="00B41C82" w:rsidRDefault="002F3B91" w:rsidP="005159A8">
      <w:pPr>
        <w:numPr>
          <w:ilvl w:val="0"/>
          <w:numId w:val="2"/>
        </w:numPr>
        <w:spacing w:before="60" w:after="60" w:line="276" w:lineRule="auto"/>
        <w:rPr>
          <w:rFonts w:ascii="Calibri" w:hAnsi="Calibri" w:cs="Times New Roman"/>
          <w:sz w:val="24"/>
          <w:szCs w:val="24"/>
          <w:lang w:eastAsia="pl-PL"/>
        </w:rPr>
      </w:pPr>
      <w:r w:rsidRPr="002F3B91">
        <w:rPr>
          <w:rFonts w:ascii="Calibri" w:hAnsi="Calibri" w:cs="Times New Roman"/>
          <w:b/>
          <w:sz w:val="24"/>
          <w:szCs w:val="24"/>
          <w:lang w:eastAsia="pl-PL"/>
        </w:rPr>
        <w:t>Dyrektywa o usłudze powszechnej</w:t>
      </w:r>
      <w:r w:rsidRPr="002F3B91">
        <w:rPr>
          <w:rFonts w:ascii="Calibri" w:hAnsi="Calibri" w:cs="Times New Roman"/>
          <w:sz w:val="24"/>
          <w:szCs w:val="24"/>
          <w:lang w:eastAsia="pl-PL"/>
        </w:rPr>
        <w:t xml:space="preserve"> </w:t>
      </w:r>
      <w:r>
        <w:rPr>
          <w:rFonts w:ascii="Calibri" w:hAnsi="Calibri" w:cs="Times New Roman"/>
          <w:sz w:val="24"/>
          <w:szCs w:val="24"/>
          <w:lang w:eastAsia="pl-PL"/>
        </w:rPr>
        <w:t xml:space="preserve">- </w:t>
      </w:r>
      <w:r w:rsidR="00B41C82" w:rsidRPr="00B41C82">
        <w:rPr>
          <w:rFonts w:ascii="Calibri" w:hAnsi="Calibri" w:cs="Times New Roman"/>
          <w:sz w:val="24"/>
          <w:szCs w:val="24"/>
          <w:lang w:eastAsia="pl-PL"/>
        </w:rPr>
        <w:t>dyrektywa 2002/22/WE Parlamentu Europejskiego i Rady z dnia 7 marca 2002 r. w sprawie dostępu do sieci łączności elektronicznej i urządzeń towarzyszących oraz wzajemnych połączeń (dyrektywa o usłudze powszechnej) (Dz.U.UE.L.2002.108.51, Dz</w:t>
      </w:r>
      <w:r w:rsidR="00DC6D60">
        <w:rPr>
          <w:rFonts w:ascii="Calibri" w:hAnsi="Calibri" w:cs="Times New Roman"/>
          <w:sz w:val="24"/>
          <w:szCs w:val="24"/>
          <w:lang w:eastAsia="pl-PL"/>
        </w:rPr>
        <w:t xml:space="preserve">.U.UE-sp.13-29-367 z </w:t>
      </w:r>
      <w:proofErr w:type="spellStart"/>
      <w:r w:rsidR="00DC6D60">
        <w:rPr>
          <w:rFonts w:ascii="Calibri" w:hAnsi="Calibri" w:cs="Times New Roman"/>
          <w:sz w:val="24"/>
          <w:szCs w:val="24"/>
          <w:lang w:eastAsia="pl-PL"/>
        </w:rPr>
        <w:t>późn</w:t>
      </w:r>
      <w:proofErr w:type="spellEnd"/>
      <w:r w:rsidR="00DC6D60">
        <w:rPr>
          <w:rFonts w:ascii="Calibri" w:hAnsi="Calibri" w:cs="Times New Roman"/>
          <w:sz w:val="24"/>
          <w:szCs w:val="24"/>
          <w:lang w:eastAsia="pl-PL"/>
        </w:rPr>
        <w:t>. zm.).</w:t>
      </w:r>
    </w:p>
    <w:p w:rsidR="00B41C82" w:rsidRPr="00B41C82" w:rsidRDefault="002F3B91" w:rsidP="005159A8">
      <w:pPr>
        <w:numPr>
          <w:ilvl w:val="0"/>
          <w:numId w:val="2"/>
        </w:numPr>
        <w:spacing w:before="60" w:after="60" w:line="276" w:lineRule="auto"/>
        <w:rPr>
          <w:rFonts w:ascii="Calibri" w:hAnsi="Calibri" w:cs="Times New Roman"/>
          <w:sz w:val="24"/>
          <w:szCs w:val="24"/>
          <w:lang w:eastAsia="pl-PL"/>
        </w:rPr>
      </w:pPr>
      <w:r w:rsidRPr="002F3B91">
        <w:rPr>
          <w:rFonts w:ascii="Calibri" w:hAnsi="Calibri" w:cs="Times New Roman"/>
          <w:b/>
          <w:sz w:val="24"/>
          <w:szCs w:val="24"/>
          <w:lang w:eastAsia="pl-PL"/>
        </w:rPr>
        <w:t>Dyrektywa o zezwoleniach</w:t>
      </w:r>
      <w:r w:rsidRPr="002F3B91">
        <w:rPr>
          <w:rFonts w:ascii="Calibri" w:hAnsi="Calibri" w:cs="Times New Roman"/>
          <w:sz w:val="24"/>
          <w:szCs w:val="24"/>
          <w:lang w:eastAsia="pl-PL"/>
        </w:rPr>
        <w:t xml:space="preserve"> </w:t>
      </w:r>
      <w:r>
        <w:rPr>
          <w:rFonts w:ascii="Calibri" w:hAnsi="Calibri" w:cs="Times New Roman"/>
          <w:sz w:val="24"/>
          <w:szCs w:val="24"/>
          <w:lang w:eastAsia="pl-PL"/>
        </w:rPr>
        <w:t xml:space="preserve">- </w:t>
      </w:r>
      <w:r w:rsidR="00B41C82" w:rsidRPr="00B41C82">
        <w:rPr>
          <w:rFonts w:ascii="Calibri" w:hAnsi="Calibri" w:cs="Times New Roman"/>
          <w:sz w:val="24"/>
          <w:szCs w:val="24"/>
          <w:lang w:eastAsia="pl-PL"/>
        </w:rPr>
        <w:t>dyrektywa 2002/20/WE Parlamentu Europejskiego i Rady z dnia 7 marca 2002 r. w sprawie zezwoleń na udostępnienie sieci i usług łączności elektronicznej (dyrektywa o zezwoleniach) (DZ.U.UE.L.2002.108.21, Dz</w:t>
      </w:r>
      <w:r w:rsidR="00DC6D60">
        <w:rPr>
          <w:rFonts w:ascii="Calibri" w:hAnsi="Calibri" w:cs="Times New Roman"/>
          <w:sz w:val="24"/>
          <w:szCs w:val="24"/>
          <w:lang w:eastAsia="pl-PL"/>
        </w:rPr>
        <w:t xml:space="preserve">.U.UE-sp.13-29-337 z </w:t>
      </w:r>
      <w:proofErr w:type="spellStart"/>
      <w:r w:rsidR="00DC6D60">
        <w:rPr>
          <w:rFonts w:ascii="Calibri" w:hAnsi="Calibri" w:cs="Times New Roman"/>
          <w:sz w:val="24"/>
          <w:szCs w:val="24"/>
          <w:lang w:eastAsia="pl-PL"/>
        </w:rPr>
        <w:t>późn</w:t>
      </w:r>
      <w:proofErr w:type="spellEnd"/>
      <w:r w:rsidR="00DC6D60">
        <w:rPr>
          <w:rFonts w:ascii="Calibri" w:hAnsi="Calibri" w:cs="Times New Roman"/>
          <w:sz w:val="24"/>
          <w:szCs w:val="24"/>
          <w:lang w:eastAsia="pl-PL"/>
        </w:rPr>
        <w:t>. zm.).</w:t>
      </w:r>
    </w:p>
    <w:p w:rsidR="00B41C82" w:rsidRPr="00B41C82" w:rsidRDefault="007451DC" w:rsidP="005159A8">
      <w:pPr>
        <w:numPr>
          <w:ilvl w:val="0"/>
          <w:numId w:val="2"/>
        </w:numPr>
        <w:spacing w:before="60" w:after="60" w:line="276" w:lineRule="auto"/>
        <w:rPr>
          <w:rFonts w:ascii="Calibri" w:hAnsi="Calibri" w:cs="Times New Roman"/>
          <w:sz w:val="24"/>
          <w:szCs w:val="24"/>
          <w:lang w:eastAsia="pl-PL"/>
        </w:rPr>
      </w:pPr>
      <w:r w:rsidRPr="007451DC">
        <w:rPr>
          <w:rFonts w:ascii="Calibri" w:hAnsi="Calibri" w:cs="Times New Roman"/>
          <w:b/>
          <w:sz w:val="24"/>
          <w:szCs w:val="24"/>
          <w:lang w:eastAsia="pl-PL"/>
        </w:rPr>
        <w:t>Dyrektywa o dostępie</w:t>
      </w:r>
      <w:r>
        <w:rPr>
          <w:rFonts w:ascii="Calibri" w:hAnsi="Calibri" w:cs="Times New Roman"/>
          <w:sz w:val="24"/>
          <w:szCs w:val="24"/>
          <w:lang w:eastAsia="pl-PL"/>
        </w:rPr>
        <w:t xml:space="preserve"> -</w:t>
      </w:r>
      <w:r w:rsidRPr="007451DC">
        <w:rPr>
          <w:rFonts w:ascii="Calibri" w:hAnsi="Calibri" w:cs="Times New Roman"/>
          <w:sz w:val="24"/>
          <w:szCs w:val="24"/>
          <w:lang w:eastAsia="pl-PL"/>
        </w:rPr>
        <w:t xml:space="preserve"> </w:t>
      </w:r>
      <w:r w:rsidR="00B41C82" w:rsidRPr="00B41C82">
        <w:rPr>
          <w:rFonts w:ascii="Calibri" w:hAnsi="Calibri" w:cs="Times New Roman"/>
          <w:sz w:val="24"/>
          <w:szCs w:val="24"/>
          <w:lang w:eastAsia="pl-PL"/>
        </w:rPr>
        <w:t>dyrektywa 2002/</w:t>
      </w:r>
      <w:r w:rsidR="00B7358D">
        <w:rPr>
          <w:rFonts w:ascii="Calibri" w:hAnsi="Calibri" w:cs="Times New Roman"/>
          <w:sz w:val="24"/>
          <w:szCs w:val="24"/>
          <w:lang w:eastAsia="pl-PL"/>
        </w:rPr>
        <w:t>19</w:t>
      </w:r>
      <w:r w:rsidR="00B41C82" w:rsidRPr="00B41C82">
        <w:rPr>
          <w:rFonts w:ascii="Calibri" w:hAnsi="Calibri" w:cs="Times New Roman"/>
          <w:sz w:val="24"/>
          <w:szCs w:val="24"/>
          <w:lang w:eastAsia="pl-PL"/>
        </w:rPr>
        <w:t>/WE Parlamentu Europejskiego i Rady z dnia 7 marca 2002 r. w sprawie dostępu do sieci łączności elektronicznej i urządzeń towarzyszących oraz wzajemnych połączeń (dyrektywa o dostępie) (DZ.U.L.2002.108.7, Dz.</w:t>
      </w:r>
      <w:r w:rsidR="00DC6D60">
        <w:rPr>
          <w:rFonts w:ascii="Calibri" w:hAnsi="Calibri" w:cs="Times New Roman"/>
          <w:sz w:val="24"/>
          <w:szCs w:val="24"/>
          <w:lang w:eastAsia="pl-PL"/>
        </w:rPr>
        <w:t xml:space="preserve">U.UE-sp.13-29-323 z </w:t>
      </w:r>
      <w:proofErr w:type="spellStart"/>
      <w:r w:rsidR="00DC6D60">
        <w:rPr>
          <w:rFonts w:ascii="Calibri" w:hAnsi="Calibri" w:cs="Times New Roman"/>
          <w:sz w:val="24"/>
          <w:szCs w:val="24"/>
          <w:lang w:eastAsia="pl-PL"/>
        </w:rPr>
        <w:t>późn</w:t>
      </w:r>
      <w:proofErr w:type="spellEnd"/>
      <w:r w:rsidR="00DC6D60">
        <w:rPr>
          <w:rFonts w:ascii="Calibri" w:hAnsi="Calibri" w:cs="Times New Roman"/>
          <w:sz w:val="24"/>
          <w:szCs w:val="24"/>
          <w:lang w:eastAsia="pl-PL"/>
        </w:rPr>
        <w:t>. zm.).</w:t>
      </w:r>
    </w:p>
    <w:p w:rsidR="00B41C82" w:rsidRDefault="007451DC" w:rsidP="005159A8">
      <w:pPr>
        <w:numPr>
          <w:ilvl w:val="0"/>
          <w:numId w:val="2"/>
        </w:numPr>
        <w:spacing w:before="60" w:after="60" w:line="276" w:lineRule="auto"/>
        <w:rPr>
          <w:rFonts w:ascii="Calibri" w:hAnsi="Calibri" w:cs="Times New Roman"/>
          <w:sz w:val="24"/>
          <w:szCs w:val="24"/>
          <w:lang w:eastAsia="pl-PL"/>
        </w:rPr>
      </w:pPr>
      <w:r w:rsidRPr="007451DC">
        <w:rPr>
          <w:rFonts w:ascii="Calibri" w:hAnsi="Calibri" w:cs="Times New Roman"/>
          <w:b/>
          <w:sz w:val="24"/>
          <w:szCs w:val="24"/>
          <w:lang w:eastAsia="pl-PL"/>
        </w:rPr>
        <w:t>Ustawa lub Pt</w:t>
      </w:r>
      <w:r>
        <w:rPr>
          <w:rFonts w:ascii="Calibri" w:hAnsi="Calibri" w:cs="Times New Roman"/>
          <w:sz w:val="24"/>
          <w:szCs w:val="24"/>
          <w:lang w:eastAsia="pl-PL"/>
        </w:rPr>
        <w:t xml:space="preserve"> - </w:t>
      </w:r>
      <w:r w:rsidR="00B41C82" w:rsidRPr="00B41C82">
        <w:rPr>
          <w:rFonts w:ascii="Calibri" w:hAnsi="Calibri" w:cs="Times New Roman"/>
          <w:sz w:val="24"/>
          <w:szCs w:val="24"/>
          <w:lang w:eastAsia="pl-PL"/>
        </w:rPr>
        <w:t>ustawa z dnia 16 lipca 2004 r. – Prawo telekomunikacyjne (</w:t>
      </w:r>
      <w:r w:rsidR="00DC6D60">
        <w:rPr>
          <w:rFonts w:ascii="Calibri" w:hAnsi="Calibri" w:cs="Times New Roman"/>
          <w:sz w:val="24"/>
          <w:szCs w:val="24"/>
          <w:lang w:eastAsia="pl-PL"/>
        </w:rPr>
        <w:t>Dz.U.20</w:t>
      </w:r>
      <w:r w:rsidR="001370FC">
        <w:rPr>
          <w:rFonts w:ascii="Calibri" w:hAnsi="Calibri" w:cs="Times New Roman"/>
          <w:sz w:val="24"/>
          <w:szCs w:val="24"/>
          <w:lang w:eastAsia="pl-PL"/>
        </w:rPr>
        <w:t>1</w:t>
      </w:r>
      <w:r w:rsidR="00DC6D60">
        <w:rPr>
          <w:rFonts w:ascii="Calibri" w:hAnsi="Calibri" w:cs="Times New Roman"/>
          <w:sz w:val="24"/>
          <w:szCs w:val="24"/>
          <w:lang w:eastAsia="pl-PL"/>
        </w:rPr>
        <w:t>4.</w:t>
      </w:r>
      <w:r w:rsidR="001370FC">
        <w:rPr>
          <w:rFonts w:ascii="Calibri" w:hAnsi="Calibri" w:cs="Times New Roman"/>
          <w:sz w:val="24"/>
          <w:szCs w:val="24"/>
          <w:lang w:eastAsia="pl-PL"/>
        </w:rPr>
        <w:t>243, j.t.</w:t>
      </w:r>
      <w:r w:rsidR="00DC6D60">
        <w:rPr>
          <w:rFonts w:ascii="Calibri" w:hAnsi="Calibri" w:cs="Times New Roman"/>
          <w:sz w:val="24"/>
          <w:szCs w:val="24"/>
          <w:lang w:eastAsia="pl-PL"/>
        </w:rPr>
        <w:t>).</w:t>
      </w:r>
    </w:p>
    <w:p w:rsidR="007451DC" w:rsidRPr="00B41C82" w:rsidRDefault="007451DC" w:rsidP="005159A8">
      <w:pPr>
        <w:numPr>
          <w:ilvl w:val="0"/>
          <w:numId w:val="2"/>
        </w:numPr>
        <w:spacing w:before="60" w:after="60" w:line="276" w:lineRule="auto"/>
        <w:rPr>
          <w:rFonts w:ascii="Calibri" w:hAnsi="Calibri" w:cs="Times New Roman"/>
          <w:sz w:val="24"/>
          <w:szCs w:val="24"/>
          <w:lang w:eastAsia="pl-PL"/>
        </w:rPr>
      </w:pPr>
      <w:r w:rsidRPr="007451DC">
        <w:rPr>
          <w:rFonts w:ascii="Calibri" w:hAnsi="Calibri" w:cs="Times New Roman"/>
          <w:b/>
          <w:sz w:val="24"/>
          <w:szCs w:val="24"/>
          <w:lang w:eastAsia="pl-PL"/>
        </w:rPr>
        <w:t>Ustawa nowelizująca 2012</w:t>
      </w:r>
      <w:r>
        <w:rPr>
          <w:rFonts w:ascii="Calibri" w:hAnsi="Calibri" w:cs="Times New Roman"/>
          <w:sz w:val="24"/>
          <w:szCs w:val="24"/>
          <w:lang w:eastAsia="pl-PL"/>
        </w:rPr>
        <w:t xml:space="preserve"> – ustawa z </w:t>
      </w:r>
      <w:r w:rsidRPr="007451DC">
        <w:rPr>
          <w:rFonts w:ascii="Calibri" w:hAnsi="Calibri" w:cs="Times New Roman"/>
          <w:sz w:val="24"/>
          <w:szCs w:val="24"/>
          <w:lang w:eastAsia="pl-PL"/>
        </w:rPr>
        <w:t>dnia 16 listopada 2012 roku o zmianie ustawy - Prawo telekomunikacyjne oraz niektórych innych ustaw</w:t>
      </w:r>
      <w:r>
        <w:rPr>
          <w:rFonts w:ascii="Calibri" w:hAnsi="Calibri" w:cs="Times New Roman"/>
          <w:sz w:val="24"/>
          <w:szCs w:val="24"/>
          <w:lang w:eastAsia="pl-PL"/>
        </w:rPr>
        <w:t xml:space="preserve"> (Dz.U.2012</w:t>
      </w:r>
      <w:r w:rsidRPr="007451DC">
        <w:rPr>
          <w:rFonts w:ascii="Calibri" w:hAnsi="Calibri" w:cs="Times New Roman"/>
          <w:sz w:val="24"/>
          <w:szCs w:val="24"/>
          <w:lang w:eastAsia="pl-PL"/>
        </w:rPr>
        <w:t>.</w:t>
      </w:r>
      <w:r w:rsidR="00DC6D60">
        <w:rPr>
          <w:rFonts w:ascii="Calibri" w:hAnsi="Calibri" w:cs="Times New Roman"/>
          <w:sz w:val="24"/>
          <w:szCs w:val="24"/>
          <w:lang w:eastAsia="pl-PL"/>
        </w:rPr>
        <w:t xml:space="preserve">1445 z </w:t>
      </w:r>
      <w:proofErr w:type="spellStart"/>
      <w:r w:rsidR="00DC6D60">
        <w:rPr>
          <w:rFonts w:ascii="Calibri" w:hAnsi="Calibri" w:cs="Times New Roman"/>
          <w:sz w:val="24"/>
          <w:szCs w:val="24"/>
          <w:lang w:eastAsia="pl-PL"/>
        </w:rPr>
        <w:t>późn</w:t>
      </w:r>
      <w:proofErr w:type="spellEnd"/>
      <w:r w:rsidR="00DC6D60">
        <w:rPr>
          <w:rFonts w:ascii="Calibri" w:hAnsi="Calibri" w:cs="Times New Roman"/>
          <w:sz w:val="24"/>
          <w:szCs w:val="24"/>
          <w:lang w:eastAsia="pl-PL"/>
        </w:rPr>
        <w:t>. zm.).</w:t>
      </w:r>
    </w:p>
    <w:p w:rsidR="00B41C82" w:rsidRPr="00B41C82" w:rsidRDefault="007451DC" w:rsidP="005159A8">
      <w:pPr>
        <w:numPr>
          <w:ilvl w:val="0"/>
          <w:numId w:val="2"/>
        </w:numPr>
        <w:spacing w:before="60" w:after="60" w:line="276" w:lineRule="auto"/>
        <w:rPr>
          <w:rFonts w:ascii="Calibri" w:hAnsi="Calibri" w:cs="Times New Roman"/>
          <w:sz w:val="24"/>
          <w:szCs w:val="24"/>
          <w:lang w:eastAsia="pl-PL"/>
        </w:rPr>
      </w:pPr>
      <w:r w:rsidRPr="007451DC">
        <w:rPr>
          <w:rFonts w:ascii="Calibri" w:hAnsi="Calibri" w:cs="Times New Roman"/>
          <w:b/>
          <w:sz w:val="24"/>
          <w:szCs w:val="24"/>
          <w:lang w:eastAsia="pl-PL"/>
        </w:rPr>
        <w:t xml:space="preserve">Rozporządzenie </w:t>
      </w:r>
      <w:r w:rsidR="00690B5D">
        <w:rPr>
          <w:rFonts w:ascii="Calibri" w:hAnsi="Calibri" w:cs="Times New Roman"/>
          <w:b/>
          <w:sz w:val="24"/>
          <w:szCs w:val="24"/>
          <w:lang w:eastAsia="pl-PL"/>
        </w:rPr>
        <w:t xml:space="preserve">(lub </w:t>
      </w:r>
      <w:r w:rsidR="007E07DC">
        <w:rPr>
          <w:rFonts w:ascii="Calibri" w:hAnsi="Calibri" w:cs="Times New Roman"/>
          <w:b/>
          <w:sz w:val="24"/>
          <w:szCs w:val="24"/>
          <w:lang w:eastAsia="pl-PL"/>
        </w:rPr>
        <w:t xml:space="preserve">Rozporządzenie NP lub </w:t>
      </w:r>
      <w:r w:rsidR="00690B5D">
        <w:rPr>
          <w:rFonts w:ascii="Calibri" w:hAnsi="Calibri" w:cs="Times New Roman"/>
          <w:b/>
          <w:sz w:val="24"/>
          <w:szCs w:val="24"/>
          <w:lang w:eastAsia="pl-PL"/>
        </w:rPr>
        <w:t xml:space="preserve">RMI) </w:t>
      </w:r>
      <w:r>
        <w:rPr>
          <w:rFonts w:ascii="Calibri" w:hAnsi="Calibri" w:cs="Times New Roman"/>
          <w:sz w:val="24"/>
          <w:szCs w:val="24"/>
          <w:lang w:eastAsia="pl-PL"/>
        </w:rPr>
        <w:t xml:space="preserve">- </w:t>
      </w:r>
      <w:r w:rsidR="00B41C82" w:rsidRPr="00B41C82">
        <w:rPr>
          <w:rFonts w:ascii="Calibri" w:hAnsi="Calibri" w:cs="Times New Roman"/>
          <w:sz w:val="24"/>
          <w:szCs w:val="24"/>
          <w:lang w:eastAsia="pl-PL"/>
        </w:rPr>
        <w:t>rozporządzenie Ministra Infrastruktury z dnia 16 grudnia 2010 r. w sprawie warunków korzystania z uprawnień w publicznych sieciach tele</w:t>
      </w:r>
      <w:r w:rsidR="00DC6D60">
        <w:rPr>
          <w:rFonts w:ascii="Calibri" w:hAnsi="Calibri" w:cs="Times New Roman"/>
          <w:sz w:val="24"/>
          <w:szCs w:val="24"/>
          <w:lang w:eastAsia="pl-PL"/>
        </w:rPr>
        <w:t>fonicznych (Dz.W.2010.249.1670).</w:t>
      </w:r>
    </w:p>
    <w:p w:rsidR="00B41C82" w:rsidRPr="00B41C82" w:rsidRDefault="00C41139" w:rsidP="005159A8">
      <w:pPr>
        <w:numPr>
          <w:ilvl w:val="0"/>
          <w:numId w:val="2"/>
        </w:numPr>
        <w:spacing w:before="60" w:after="60" w:line="276" w:lineRule="auto"/>
        <w:rPr>
          <w:rFonts w:ascii="Calibri" w:hAnsi="Calibri" w:cs="Times New Roman"/>
          <w:sz w:val="24"/>
          <w:szCs w:val="24"/>
          <w:lang w:eastAsia="pl-PL"/>
        </w:rPr>
      </w:pPr>
      <w:r w:rsidRPr="00C41139">
        <w:rPr>
          <w:rFonts w:ascii="Calibri" w:hAnsi="Calibri" w:cs="Times New Roman"/>
          <w:b/>
          <w:sz w:val="24"/>
          <w:szCs w:val="24"/>
          <w:lang w:eastAsia="pl-PL"/>
        </w:rPr>
        <w:t>Rozporządzenie 112</w:t>
      </w:r>
      <w:r>
        <w:rPr>
          <w:rFonts w:ascii="Calibri" w:hAnsi="Calibri" w:cs="Times New Roman"/>
          <w:sz w:val="24"/>
          <w:szCs w:val="24"/>
          <w:lang w:eastAsia="pl-PL"/>
        </w:rPr>
        <w:t xml:space="preserve"> - </w:t>
      </w:r>
      <w:r w:rsidR="00B41C82" w:rsidRPr="00B41C82">
        <w:rPr>
          <w:rFonts w:ascii="Calibri" w:hAnsi="Calibri" w:cs="Times New Roman"/>
          <w:sz w:val="24"/>
          <w:szCs w:val="24"/>
          <w:lang w:eastAsia="pl-PL"/>
        </w:rPr>
        <w:t>rozporządzenie Rady Ministrów z dnia 27 grudnia 2012 r. w sprawie organizacji i funkcjonowania systemu gromadzącego i udostępniającego informacje i dane dotyczące lokalizacji zakończenia sieci, z którego zostało wykonane połączenie do numeru alarmowego ”112” albo innych nu</w:t>
      </w:r>
      <w:r w:rsidR="00DC6D60">
        <w:rPr>
          <w:rFonts w:ascii="Calibri" w:hAnsi="Calibri" w:cs="Times New Roman"/>
          <w:sz w:val="24"/>
          <w:szCs w:val="24"/>
          <w:lang w:eastAsia="pl-PL"/>
        </w:rPr>
        <w:t>merów alarmowych (Dz.U.2013.37).</w:t>
      </w:r>
    </w:p>
    <w:p w:rsidR="00B41C82" w:rsidRPr="00B41C82" w:rsidRDefault="00C41139" w:rsidP="005159A8">
      <w:pPr>
        <w:numPr>
          <w:ilvl w:val="0"/>
          <w:numId w:val="2"/>
        </w:numPr>
        <w:spacing w:before="60" w:after="60" w:line="276" w:lineRule="auto"/>
        <w:rPr>
          <w:rFonts w:ascii="Calibri" w:hAnsi="Calibri" w:cs="Times New Roman"/>
          <w:sz w:val="24"/>
          <w:szCs w:val="24"/>
          <w:lang w:eastAsia="pl-PL"/>
        </w:rPr>
      </w:pPr>
      <w:r w:rsidRPr="00C41139">
        <w:rPr>
          <w:rFonts w:ascii="Calibri" w:hAnsi="Calibri" w:cs="Times New Roman"/>
          <w:b/>
          <w:sz w:val="24"/>
          <w:szCs w:val="24"/>
          <w:lang w:eastAsia="pl-PL"/>
        </w:rPr>
        <w:t>Rozporządzenie CP SCPR</w:t>
      </w:r>
      <w:r>
        <w:rPr>
          <w:rFonts w:ascii="Calibri" w:hAnsi="Calibri" w:cs="Times New Roman"/>
          <w:sz w:val="24"/>
          <w:szCs w:val="24"/>
          <w:lang w:eastAsia="pl-PL"/>
        </w:rPr>
        <w:t xml:space="preserve"> - </w:t>
      </w:r>
      <w:r w:rsidR="00B41C82" w:rsidRPr="00B41C82">
        <w:rPr>
          <w:rFonts w:ascii="Calibri" w:hAnsi="Calibri" w:cs="Times New Roman"/>
          <w:sz w:val="24"/>
          <w:szCs w:val="24"/>
          <w:lang w:eastAsia="pl-PL"/>
        </w:rPr>
        <w:t>rozporządzenie Ministra Spraw Wewnętrznych i Administracji z dnia 24 marca 2011 r. w sprawie centralnego punktu systemu centrów powiadamiania ratunkowego oraz punktów centr</w:t>
      </w:r>
      <w:r w:rsidR="00DC6D60">
        <w:rPr>
          <w:rFonts w:ascii="Calibri" w:hAnsi="Calibri" w:cs="Times New Roman"/>
          <w:sz w:val="24"/>
          <w:szCs w:val="24"/>
          <w:lang w:eastAsia="pl-PL"/>
        </w:rPr>
        <w:t>alnych służb (Dz.U.2011.75.404).</w:t>
      </w:r>
    </w:p>
    <w:p w:rsidR="003E6A84" w:rsidRDefault="000303D3" w:rsidP="003E6A84">
      <w:pPr>
        <w:numPr>
          <w:ilvl w:val="0"/>
          <w:numId w:val="2"/>
        </w:numPr>
        <w:spacing w:before="60" w:after="60" w:line="276" w:lineRule="auto"/>
        <w:rPr>
          <w:rFonts w:ascii="Calibri" w:hAnsi="Calibri" w:cs="Times New Roman"/>
          <w:sz w:val="24"/>
          <w:szCs w:val="24"/>
          <w:lang w:eastAsia="pl-PL"/>
        </w:rPr>
      </w:pPr>
      <w:r w:rsidRPr="000303D3">
        <w:rPr>
          <w:rFonts w:ascii="Calibri" w:hAnsi="Calibri" w:cs="Times New Roman"/>
          <w:b/>
          <w:sz w:val="24"/>
          <w:szCs w:val="24"/>
          <w:lang w:eastAsia="pl-PL"/>
        </w:rPr>
        <w:t>Rozporządzenie PNK</w:t>
      </w:r>
      <w:r>
        <w:rPr>
          <w:rFonts w:ascii="Calibri" w:hAnsi="Calibri" w:cs="Times New Roman"/>
          <w:b/>
          <w:sz w:val="24"/>
          <w:szCs w:val="24"/>
          <w:lang w:eastAsia="pl-PL"/>
        </w:rPr>
        <w:t xml:space="preserve"> lub PNK</w:t>
      </w:r>
      <w:r>
        <w:rPr>
          <w:rFonts w:ascii="Calibri" w:hAnsi="Calibri" w:cs="Times New Roman"/>
          <w:sz w:val="24"/>
          <w:szCs w:val="24"/>
          <w:lang w:eastAsia="pl-PL"/>
        </w:rPr>
        <w:t xml:space="preserve"> - </w:t>
      </w:r>
      <w:r w:rsidR="00B41C82" w:rsidRPr="00B41C82">
        <w:rPr>
          <w:rFonts w:ascii="Calibri" w:hAnsi="Calibri" w:cs="Times New Roman"/>
          <w:sz w:val="24"/>
          <w:szCs w:val="24"/>
          <w:lang w:eastAsia="pl-PL"/>
        </w:rPr>
        <w:t>rozporządzenie Ministra Administracji i Cyfryzacji z dnia 30 października 2013 r. w sprawie planu numeracji krajowej dla publicznych sieci telekomunikacyjnych, w których świadczone są publicznie dostępne usług</w:t>
      </w:r>
      <w:r w:rsidR="00DC6D60">
        <w:rPr>
          <w:rFonts w:ascii="Calibri" w:hAnsi="Calibri" w:cs="Times New Roman"/>
          <w:sz w:val="24"/>
          <w:szCs w:val="24"/>
          <w:lang w:eastAsia="pl-PL"/>
        </w:rPr>
        <w:t>i telefoniczne (Dz.U.2013.1281).</w:t>
      </w:r>
    </w:p>
    <w:p w:rsidR="003E6A84" w:rsidRDefault="00907F13" w:rsidP="003E6A84">
      <w:pPr>
        <w:numPr>
          <w:ilvl w:val="0"/>
          <w:numId w:val="2"/>
        </w:numPr>
        <w:spacing w:before="60" w:after="60" w:line="276" w:lineRule="auto"/>
        <w:rPr>
          <w:rFonts w:ascii="Calibri" w:hAnsi="Calibri" w:cs="Times New Roman"/>
          <w:sz w:val="24"/>
          <w:szCs w:val="24"/>
          <w:lang w:eastAsia="pl-PL"/>
        </w:rPr>
      </w:pPr>
      <w:r w:rsidRPr="00907F13">
        <w:rPr>
          <w:rFonts w:ascii="Calibri" w:hAnsi="Calibri" w:cs="Times New Roman"/>
          <w:b/>
          <w:sz w:val="24"/>
          <w:szCs w:val="24"/>
          <w:lang w:eastAsia="pl-PL"/>
        </w:rPr>
        <w:t>Rozporządzenie ETSI</w:t>
      </w:r>
      <w:r w:rsidR="003E6A84">
        <w:rPr>
          <w:rFonts w:ascii="Calibri" w:hAnsi="Calibri" w:cs="Times New Roman"/>
          <w:sz w:val="24"/>
          <w:szCs w:val="24"/>
          <w:lang w:eastAsia="pl-PL"/>
        </w:rPr>
        <w:t xml:space="preserve"> - r</w:t>
      </w:r>
      <w:r w:rsidR="003E6A84" w:rsidRPr="003E6A84">
        <w:rPr>
          <w:rFonts w:ascii="Calibri" w:hAnsi="Calibri" w:cs="Times New Roman"/>
          <w:sz w:val="24"/>
          <w:szCs w:val="24"/>
          <w:lang w:eastAsia="pl-PL"/>
        </w:rPr>
        <w:t>ozporządzenie Ministra Administracji i Cyfryzacji z dnia 13 grudnia 2012 r. w sprawie wprowadzenia do stosowania Specyfikacji ETSI TS 102 164 V1.3.1 (2006-09) Zintegrowane Telekomunikacyjne i Internetowe Usługi i Protokoły dla Zaawansowanych Sieci (TISPAN): Protokoły lokalizacji miejsca niebezpieczeństwa (</w:t>
      </w:r>
      <w:proofErr w:type="spellStart"/>
      <w:r w:rsidR="003E6A84" w:rsidRPr="003E6A84">
        <w:rPr>
          <w:rFonts w:ascii="Calibri" w:hAnsi="Calibri" w:cs="Times New Roman"/>
          <w:sz w:val="24"/>
          <w:szCs w:val="24"/>
          <w:lang w:eastAsia="pl-PL"/>
        </w:rPr>
        <w:t>Dz.U</w:t>
      </w:r>
      <w:proofErr w:type="spellEnd"/>
      <w:r w:rsidR="003E6A84" w:rsidRPr="003E6A84">
        <w:rPr>
          <w:rFonts w:ascii="Calibri" w:hAnsi="Calibri" w:cs="Times New Roman"/>
          <w:sz w:val="24"/>
          <w:szCs w:val="24"/>
          <w:lang w:eastAsia="pl-PL"/>
        </w:rPr>
        <w:t>. 2012 nr 0 poz. 1527 z późn.zm)</w:t>
      </w:r>
      <w:r w:rsidR="003E6A84">
        <w:rPr>
          <w:rFonts w:ascii="Calibri" w:hAnsi="Calibri" w:cs="Times New Roman"/>
          <w:sz w:val="24"/>
          <w:szCs w:val="24"/>
          <w:lang w:eastAsia="pl-PL"/>
        </w:rPr>
        <w:t>.</w:t>
      </w:r>
    </w:p>
    <w:p w:rsidR="003E6A84" w:rsidRDefault="00907F13" w:rsidP="003E6A84">
      <w:pPr>
        <w:numPr>
          <w:ilvl w:val="0"/>
          <w:numId w:val="2"/>
        </w:numPr>
        <w:spacing w:before="60" w:after="60" w:line="276" w:lineRule="auto"/>
        <w:rPr>
          <w:rFonts w:ascii="Calibri" w:hAnsi="Calibri" w:cs="Times New Roman"/>
          <w:sz w:val="24"/>
          <w:szCs w:val="24"/>
          <w:lang w:eastAsia="pl-PL"/>
        </w:rPr>
      </w:pPr>
      <w:r w:rsidRPr="00907F13">
        <w:rPr>
          <w:rFonts w:ascii="Calibri" w:hAnsi="Calibri" w:cs="Times New Roman"/>
          <w:b/>
          <w:sz w:val="24"/>
          <w:szCs w:val="24"/>
          <w:lang w:eastAsia="pl-PL"/>
        </w:rPr>
        <w:t>Rozporządzenie w sprawie gospodarowania</w:t>
      </w:r>
      <w:r w:rsidR="003E6A84">
        <w:rPr>
          <w:rFonts w:ascii="Calibri" w:hAnsi="Calibri" w:cs="Times New Roman"/>
          <w:sz w:val="24"/>
          <w:szCs w:val="24"/>
          <w:lang w:eastAsia="pl-PL"/>
        </w:rPr>
        <w:t xml:space="preserve"> </w:t>
      </w:r>
      <w:r w:rsidRPr="00907F13">
        <w:rPr>
          <w:rFonts w:ascii="Calibri" w:hAnsi="Calibri" w:cs="Times New Roman"/>
          <w:b/>
          <w:sz w:val="24"/>
          <w:szCs w:val="24"/>
          <w:lang w:eastAsia="pl-PL"/>
        </w:rPr>
        <w:t>numeracją</w:t>
      </w:r>
      <w:r w:rsidR="003E6A84">
        <w:rPr>
          <w:rFonts w:ascii="Calibri" w:hAnsi="Calibri" w:cs="Times New Roman"/>
          <w:sz w:val="24"/>
          <w:szCs w:val="24"/>
          <w:lang w:eastAsia="pl-PL"/>
        </w:rPr>
        <w:t xml:space="preserve"> - r</w:t>
      </w:r>
      <w:r w:rsidR="003E6A84" w:rsidRPr="003E6A84">
        <w:rPr>
          <w:rFonts w:ascii="Calibri" w:hAnsi="Calibri" w:cs="Times New Roman"/>
          <w:sz w:val="24"/>
          <w:szCs w:val="24"/>
          <w:lang w:eastAsia="pl-PL"/>
        </w:rPr>
        <w:t>ozporządzenie Ministra Infrastruktury z dnia 30 czerwca 2005 r. w sprawie szczegółowych wymagań dotyczących gospodarowania numeracją w publicznych sieciach telefonicznych (</w:t>
      </w:r>
      <w:proofErr w:type="spellStart"/>
      <w:r w:rsidR="003E6A84" w:rsidRPr="003E6A84">
        <w:rPr>
          <w:rFonts w:ascii="Calibri" w:hAnsi="Calibri" w:cs="Times New Roman"/>
          <w:sz w:val="24"/>
          <w:szCs w:val="24"/>
          <w:lang w:eastAsia="pl-PL"/>
        </w:rPr>
        <w:t>Dz.U</w:t>
      </w:r>
      <w:proofErr w:type="spellEnd"/>
      <w:r w:rsidR="003E6A84" w:rsidRPr="003E6A84">
        <w:rPr>
          <w:rFonts w:ascii="Calibri" w:hAnsi="Calibri" w:cs="Times New Roman"/>
          <w:sz w:val="24"/>
          <w:szCs w:val="24"/>
          <w:lang w:eastAsia="pl-PL"/>
        </w:rPr>
        <w:t>. 2005 nr 129 poz. 1082 z późn.zm)</w:t>
      </w:r>
      <w:r w:rsidR="003E6A84">
        <w:rPr>
          <w:rFonts w:ascii="Calibri" w:hAnsi="Calibri" w:cs="Times New Roman"/>
          <w:sz w:val="24"/>
          <w:szCs w:val="24"/>
          <w:lang w:eastAsia="pl-PL"/>
        </w:rPr>
        <w:t>.</w:t>
      </w:r>
    </w:p>
    <w:p w:rsidR="004F3CAA" w:rsidRDefault="00907F13" w:rsidP="004F3CAA">
      <w:pPr>
        <w:numPr>
          <w:ilvl w:val="0"/>
          <w:numId w:val="2"/>
        </w:numPr>
        <w:spacing w:before="60" w:after="60" w:line="276" w:lineRule="auto"/>
        <w:rPr>
          <w:rFonts w:ascii="Calibri" w:hAnsi="Calibri" w:cs="Times New Roman"/>
          <w:sz w:val="24"/>
          <w:szCs w:val="24"/>
          <w:lang w:eastAsia="pl-PL"/>
        </w:rPr>
      </w:pPr>
      <w:r w:rsidRPr="00907F13">
        <w:rPr>
          <w:rFonts w:ascii="Calibri" w:hAnsi="Calibri" w:cs="Times New Roman"/>
          <w:b/>
          <w:sz w:val="24"/>
          <w:szCs w:val="24"/>
          <w:lang w:eastAsia="pl-PL"/>
        </w:rPr>
        <w:t>Rozporządzenie o adresowaniu połączeń</w:t>
      </w:r>
      <w:r w:rsidR="004F3CAA">
        <w:rPr>
          <w:rFonts w:ascii="Calibri" w:hAnsi="Calibri" w:cs="Times New Roman"/>
          <w:sz w:val="24"/>
          <w:szCs w:val="24"/>
          <w:lang w:eastAsia="pl-PL"/>
        </w:rPr>
        <w:t xml:space="preserve"> - r</w:t>
      </w:r>
      <w:r w:rsidR="004F3CAA" w:rsidRPr="004F3CAA">
        <w:rPr>
          <w:rFonts w:ascii="Calibri" w:hAnsi="Calibri" w:cs="Times New Roman"/>
          <w:sz w:val="24"/>
          <w:szCs w:val="24"/>
          <w:lang w:eastAsia="pl-PL"/>
        </w:rPr>
        <w:t>ozporządzenie Ministra Infrastruktury z dnia 9 stycznia 2008 r. w sprawie szczegółowych wymagań dotyczących zasad adresowania dla właściwego kierowania połączeń (Dz. U. z dnia 29 stycznia 2008 r. Nr 14  poz. 84)</w:t>
      </w:r>
      <w:r w:rsidR="004F3CAA">
        <w:rPr>
          <w:rFonts w:ascii="Calibri" w:hAnsi="Calibri" w:cs="Times New Roman"/>
          <w:sz w:val="24"/>
          <w:szCs w:val="24"/>
          <w:lang w:eastAsia="pl-PL"/>
        </w:rPr>
        <w:t>.</w:t>
      </w:r>
    </w:p>
    <w:p w:rsidR="003E6A84" w:rsidRDefault="00907F13" w:rsidP="003E6A84">
      <w:pPr>
        <w:numPr>
          <w:ilvl w:val="0"/>
          <w:numId w:val="2"/>
        </w:numPr>
        <w:spacing w:before="60" w:after="60" w:line="276" w:lineRule="auto"/>
        <w:rPr>
          <w:rFonts w:ascii="Calibri" w:hAnsi="Calibri" w:cs="Times New Roman"/>
          <w:sz w:val="24"/>
          <w:szCs w:val="24"/>
          <w:lang w:eastAsia="pl-PL"/>
        </w:rPr>
      </w:pPr>
      <w:r w:rsidRPr="00907F13">
        <w:rPr>
          <w:rFonts w:ascii="Calibri" w:hAnsi="Calibri" w:cs="Times New Roman"/>
          <w:b/>
          <w:sz w:val="24"/>
          <w:szCs w:val="24"/>
          <w:lang w:eastAsia="pl-PL"/>
        </w:rPr>
        <w:t>Rozporządzenie o dokumentacji osobowej</w:t>
      </w:r>
      <w:r w:rsidR="003E6A84">
        <w:rPr>
          <w:rFonts w:ascii="Calibri" w:hAnsi="Calibri" w:cs="Times New Roman"/>
          <w:sz w:val="24"/>
          <w:szCs w:val="24"/>
          <w:lang w:eastAsia="pl-PL"/>
        </w:rPr>
        <w:t xml:space="preserve"> - r</w:t>
      </w:r>
      <w:r w:rsidR="003E6A84" w:rsidRPr="003E6A84">
        <w:rPr>
          <w:rFonts w:ascii="Calibri" w:hAnsi="Calibri" w:cs="Times New Roman"/>
          <w:sz w:val="24"/>
          <w:szCs w:val="24"/>
          <w:lang w:eastAsia="pl-PL"/>
        </w:rPr>
        <w:t>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proofErr w:type="spellStart"/>
      <w:r w:rsidR="003E6A84" w:rsidRPr="003E6A84">
        <w:rPr>
          <w:rFonts w:ascii="Calibri" w:hAnsi="Calibri" w:cs="Times New Roman"/>
          <w:sz w:val="24"/>
          <w:szCs w:val="24"/>
          <w:lang w:eastAsia="pl-PL"/>
        </w:rPr>
        <w:t>Dz.U</w:t>
      </w:r>
      <w:proofErr w:type="spellEnd"/>
      <w:r w:rsidR="003E6A84" w:rsidRPr="003E6A84">
        <w:rPr>
          <w:rFonts w:ascii="Calibri" w:hAnsi="Calibri" w:cs="Times New Roman"/>
          <w:sz w:val="24"/>
          <w:szCs w:val="24"/>
          <w:lang w:eastAsia="pl-PL"/>
        </w:rPr>
        <w:t xml:space="preserve">. z 2004 Nr 100, poz.1024 z </w:t>
      </w:r>
      <w:r w:rsidR="000A21B6">
        <w:rPr>
          <w:rFonts w:ascii="Calibri" w:hAnsi="Calibri" w:cs="Times New Roman"/>
          <w:sz w:val="24"/>
          <w:szCs w:val="24"/>
          <w:lang w:eastAsia="pl-PL"/>
        </w:rPr>
        <w:t>późn.</w:t>
      </w:r>
      <w:r w:rsidR="003E6A84">
        <w:rPr>
          <w:rFonts w:ascii="Calibri" w:hAnsi="Calibri" w:cs="Times New Roman"/>
          <w:sz w:val="24"/>
          <w:szCs w:val="24"/>
          <w:lang w:eastAsia="pl-PL"/>
        </w:rPr>
        <w:t>z</w:t>
      </w:r>
      <w:r w:rsidR="003E6A84" w:rsidRPr="003E6A84">
        <w:rPr>
          <w:rFonts w:ascii="Calibri" w:hAnsi="Calibri" w:cs="Times New Roman"/>
          <w:sz w:val="24"/>
          <w:szCs w:val="24"/>
          <w:lang w:eastAsia="pl-PL"/>
        </w:rPr>
        <w:t>m</w:t>
      </w:r>
      <w:r w:rsidR="003E6A84">
        <w:rPr>
          <w:rFonts w:ascii="Calibri" w:hAnsi="Calibri" w:cs="Times New Roman"/>
          <w:sz w:val="24"/>
          <w:szCs w:val="24"/>
          <w:lang w:eastAsia="pl-PL"/>
        </w:rPr>
        <w:t>.</w:t>
      </w:r>
      <w:r w:rsidR="003E6A84" w:rsidRPr="003E6A84">
        <w:rPr>
          <w:rFonts w:ascii="Calibri" w:hAnsi="Calibri" w:cs="Times New Roman"/>
          <w:sz w:val="24"/>
          <w:szCs w:val="24"/>
          <w:lang w:eastAsia="pl-PL"/>
        </w:rPr>
        <w:t>)</w:t>
      </w:r>
      <w:r w:rsidR="003E6A84">
        <w:rPr>
          <w:rFonts w:ascii="Calibri" w:hAnsi="Calibri" w:cs="Times New Roman"/>
          <w:sz w:val="24"/>
          <w:szCs w:val="24"/>
          <w:lang w:eastAsia="pl-PL"/>
        </w:rPr>
        <w:t>.</w:t>
      </w:r>
    </w:p>
    <w:p w:rsidR="003E6A84" w:rsidRDefault="00907F13" w:rsidP="003E6A84">
      <w:pPr>
        <w:numPr>
          <w:ilvl w:val="0"/>
          <w:numId w:val="2"/>
        </w:numPr>
        <w:spacing w:before="60" w:after="60" w:line="276" w:lineRule="auto"/>
        <w:rPr>
          <w:rFonts w:ascii="Calibri" w:hAnsi="Calibri" w:cs="Times New Roman"/>
          <w:sz w:val="24"/>
          <w:szCs w:val="24"/>
          <w:lang w:eastAsia="pl-PL"/>
        </w:rPr>
      </w:pPr>
      <w:r w:rsidRPr="00907F13">
        <w:rPr>
          <w:rFonts w:ascii="Calibri" w:hAnsi="Calibri" w:cs="Times New Roman"/>
          <w:b/>
          <w:sz w:val="24"/>
          <w:szCs w:val="24"/>
          <w:lang w:eastAsia="pl-PL"/>
        </w:rPr>
        <w:t>Rozporządzenie o pismach</w:t>
      </w:r>
      <w:r w:rsidR="003E6A84">
        <w:rPr>
          <w:rFonts w:ascii="Calibri" w:hAnsi="Calibri" w:cs="Times New Roman"/>
          <w:sz w:val="24"/>
          <w:szCs w:val="24"/>
          <w:lang w:eastAsia="pl-PL"/>
        </w:rPr>
        <w:t xml:space="preserve"> - r</w:t>
      </w:r>
      <w:r w:rsidR="003E6A84" w:rsidRPr="003E6A84">
        <w:rPr>
          <w:rFonts w:ascii="Calibri" w:hAnsi="Calibri" w:cs="Times New Roman"/>
          <w:sz w:val="24"/>
          <w:szCs w:val="24"/>
          <w:lang w:eastAsia="pl-PL"/>
        </w:rPr>
        <w:t xml:space="preserve">ozporządzenie Prezesa Rady Ministrów z dnia 14 września 2011 r. w sprawie sporządzania pism w formie dokumentów elektronicznych, doręczania dokumentów elektronicznych oraz udostępniania formularzy, wzorów i kopii dokumentów elektronicznych (Dz. U. z </w:t>
      </w:r>
      <w:r w:rsidR="000A21B6">
        <w:rPr>
          <w:rFonts w:ascii="Calibri" w:hAnsi="Calibri" w:cs="Times New Roman"/>
          <w:sz w:val="24"/>
          <w:szCs w:val="24"/>
          <w:lang w:eastAsia="pl-PL"/>
        </w:rPr>
        <w:t>2011, Nr 206, poz. 1216 z późn.</w:t>
      </w:r>
      <w:r w:rsidR="003E6A84" w:rsidRPr="003E6A84">
        <w:rPr>
          <w:rFonts w:ascii="Calibri" w:hAnsi="Calibri" w:cs="Times New Roman"/>
          <w:sz w:val="24"/>
          <w:szCs w:val="24"/>
          <w:lang w:eastAsia="pl-PL"/>
        </w:rPr>
        <w:t>zm)</w:t>
      </w:r>
      <w:r w:rsidR="003E6A84">
        <w:rPr>
          <w:rFonts w:ascii="Calibri" w:hAnsi="Calibri" w:cs="Times New Roman"/>
          <w:sz w:val="24"/>
          <w:szCs w:val="24"/>
          <w:lang w:eastAsia="pl-PL"/>
        </w:rPr>
        <w:t>.</w:t>
      </w:r>
    </w:p>
    <w:p w:rsidR="003E6A84" w:rsidRDefault="00907F13" w:rsidP="003E6A84">
      <w:pPr>
        <w:numPr>
          <w:ilvl w:val="0"/>
          <w:numId w:val="2"/>
        </w:numPr>
        <w:spacing w:before="60" w:after="60" w:line="276" w:lineRule="auto"/>
        <w:rPr>
          <w:rFonts w:ascii="Calibri" w:hAnsi="Calibri" w:cs="Times New Roman"/>
          <w:sz w:val="24"/>
          <w:szCs w:val="24"/>
          <w:lang w:eastAsia="pl-PL"/>
        </w:rPr>
      </w:pPr>
      <w:r w:rsidRPr="00907F13">
        <w:rPr>
          <w:rFonts w:ascii="Calibri" w:hAnsi="Calibri" w:cs="Times New Roman"/>
          <w:b/>
          <w:sz w:val="24"/>
          <w:szCs w:val="24"/>
          <w:lang w:eastAsia="pl-PL"/>
        </w:rPr>
        <w:t>Rozporządzenie Ewidencyjne</w:t>
      </w:r>
      <w:r w:rsidR="003E6A84">
        <w:rPr>
          <w:rFonts w:ascii="Calibri" w:hAnsi="Calibri" w:cs="Times New Roman"/>
          <w:sz w:val="24"/>
          <w:szCs w:val="24"/>
          <w:lang w:eastAsia="pl-PL"/>
        </w:rPr>
        <w:t xml:space="preserve"> - r</w:t>
      </w:r>
      <w:r w:rsidR="003E6A84" w:rsidRPr="003E6A84">
        <w:rPr>
          <w:rFonts w:ascii="Calibri" w:hAnsi="Calibri" w:cs="Times New Roman"/>
          <w:sz w:val="24"/>
          <w:szCs w:val="24"/>
          <w:lang w:eastAsia="pl-PL"/>
        </w:rPr>
        <w:t>ozporządzenie Ministra Administracji i Cyfryzacji  z dnia 9 stycznia 2012 r. w sprawie ewidencji miejscowości, ulic i adresów (</w:t>
      </w:r>
      <w:proofErr w:type="spellStart"/>
      <w:r w:rsidR="003E6A84" w:rsidRPr="003E6A84">
        <w:rPr>
          <w:rFonts w:ascii="Calibri" w:hAnsi="Calibri" w:cs="Times New Roman"/>
          <w:sz w:val="24"/>
          <w:szCs w:val="24"/>
          <w:lang w:eastAsia="pl-PL"/>
        </w:rPr>
        <w:t>Dz.U</w:t>
      </w:r>
      <w:proofErr w:type="spellEnd"/>
      <w:r w:rsidR="003E6A84" w:rsidRPr="003E6A84">
        <w:rPr>
          <w:rFonts w:ascii="Calibri" w:hAnsi="Calibri" w:cs="Times New Roman"/>
          <w:sz w:val="24"/>
          <w:szCs w:val="24"/>
          <w:lang w:eastAsia="pl-PL"/>
        </w:rPr>
        <w:t>. 2012 nr 0 poz. 125)</w:t>
      </w:r>
      <w:r w:rsidR="003E6A84">
        <w:rPr>
          <w:rFonts w:ascii="Calibri" w:hAnsi="Calibri" w:cs="Times New Roman"/>
          <w:sz w:val="24"/>
          <w:szCs w:val="24"/>
          <w:lang w:eastAsia="pl-PL"/>
        </w:rPr>
        <w:t>.</w:t>
      </w:r>
    </w:p>
    <w:p w:rsidR="003E6A84" w:rsidRDefault="00907F13" w:rsidP="003E6A84">
      <w:pPr>
        <w:numPr>
          <w:ilvl w:val="0"/>
          <w:numId w:val="2"/>
        </w:numPr>
        <w:spacing w:before="60" w:after="60" w:line="276" w:lineRule="auto"/>
        <w:rPr>
          <w:rFonts w:ascii="Calibri" w:hAnsi="Calibri" w:cs="Times New Roman"/>
          <w:sz w:val="24"/>
          <w:szCs w:val="24"/>
          <w:lang w:eastAsia="pl-PL"/>
        </w:rPr>
      </w:pPr>
      <w:r w:rsidRPr="00907F13">
        <w:rPr>
          <w:rFonts w:ascii="Calibri" w:hAnsi="Calibri" w:cs="Times New Roman"/>
          <w:b/>
          <w:sz w:val="24"/>
          <w:szCs w:val="24"/>
          <w:lang w:eastAsia="pl-PL"/>
        </w:rPr>
        <w:t>Rozporządzenie Identyfikacyjne</w:t>
      </w:r>
      <w:r w:rsidR="003E6A84">
        <w:rPr>
          <w:rFonts w:ascii="Calibri" w:hAnsi="Calibri" w:cs="Times New Roman"/>
          <w:sz w:val="24"/>
          <w:szCs w:val="24"/>
          <w:lang w:eastAsia="pl-PL"/>
        </w:rPr>
        <w:t xml:space="preserve"> - r</w:t>
      </w:r>
      <w:r w:rsidR="003E6A84" w:rsidRPr="003E6A84">
        <w:rPr>
          <w:rFonts w:ascii="Calibri" w:hAnsi="Calibri" w:cs="Times New Roman"/>
          <w:sz w:val="24"/>
          <w:szCs w:val="24"/>
          <w:lang w:eastAsia="pl-PL"/>
        </w:rPr>
        <w:t>ozporządzenie Ministra Spraw Wewnętrznych i Administracji z dnia 21 kwietnia 2011 r. w sprawie szczegółowych warunków organizacyjnych i technicznych, które powinien spełniać system teleinformatyczny służący do identyfikacji użytkowników (</w:t>
      </w:r>
      <w:proofErr w:type="spellStart"/>
      <w:r w:rsidR="003E6A84" w:rsidRPr="003E6A84">
        <w:rPr>
          <w:rFonts w:ascii="Calibri" w:hAnsi="Calibri" w:cs="Times New Roman"/>
          <w:sz w:val="24"/>
          <w:szCs w:val="24"/>
          <w:lang w:eastAsia="pl-PL"/>
        </w:rPr>
        <w:t>Dz.U</w:t>
      </w:r>
      <w:proofErr w:type="spellEnd"/>
      <w:r w:rsidR="003E6A84" w:rsidRPr="003E6A84">
        <w:rPr>
          <w:rFonts w:ascii="Calibri" w:hAnsi="Calibri" w:cs="Times New Roman"/>
          <w:sz w:val="24"/>
          <w:szCs w:val="24"/>
          <w:lang w:eastAsia="pl-PL"/>
        </w:rPr>
        <w:t>. 2011 nr 93 poz. 545)</w:t>
      </w:r>
      <w:r w:rsidR="00262828">
        <w:rPr>
          <w:rFonts w:ascii="Calibri" w:hAnsi="Calibri" w:cs="Times New Roman"/>
          <w:sz w:val="24"/>
          <w:szCs w:val="24"/>
          <w:lang w:eastAsia="pl-PL"/>
        </w:rPr>
        <w:t>.</w:t>
      </w:r>
    </w:p>
    <w:p w:rsidR="00B41C82" w:rsidRPr="00B41C82" w:rsidRDefault="00D7623B" w:rsidP="005159A8">
      <w:pPr>
        <w:numPr>
          <w:ilvl w:val="0"/>
          <w:numId w:val="2"/>
        </w:numPr>
        <w:spacing w:before="60" w:after="60" w:line="276" w:lineRule="auto"/>
        <w:rPr>
          <w:rFonts w:ascii="Calibri" w:hAnsi="Calibri" w:cs="Times New Roman"/>
          <w:sz w:val="24"/>
          <w:szCs w:val="24"/>
          <w:lang w:eastAsia="pl-PL"/>
        </w:rPr>
      </w:pPr>
      <w:r w:rsidRPr="00D7623B">
        <w:rPr>
          <w:rFonts w:ascii="Calibri" w:hAnsi="Calibri" w:cs="Times New Roman"/>
          <w:b/>
          <w:sz w:val="24"/>
          <w:szCs w:val="24"/>
          <w:lang w:eastAsia="pl-PL"/>
        </w:rPr>
        <w:t>Dyrektywa o ochronie danych osobowych</w:t>
      </w:r>
      <w:r>
        <w:rPr>
          <w:rFonts w:ascii="Calibri" w:hAnsi="Calibri" w:cs="Times New Roman"/>
          <w:sz w:val="24"/>
          <w:szCs w:val="24"/>
          <w:lang w:eastAsia="pl-PL"/>
        </w:rPr>
        <w:t xml:space="preserve"> - </w:t>
      </w:r>
      <w:r w:rsidR="00B41C82" w:rsidRPr="00B41C82">
        <w:rPr>
          <w:rFonts w:ascii="Calibri" w:hAnsi="Calibri" w:cs="Times New Roman"/>
          <w:sz w:val="24"/>
          <w:szCs w:val="24"/>
          <w:lang w:eastAsia="pl-PL"/>
        </w:rPr>
        <w:t>Dyrektywa 95/46/WE Parlamentu Europejskiego i Rady z dnia 24 października 1995 r. w sprawie ochrony osób fizycznych w zakresie przetwarzania danych osobowych i swobodnego przepływu tych danych (Dz.U.UE.L.1995.281.31  Dz.U.UE-sp.13-15-355).</w:t>
      </w:r>
    </w:p>
    <w:p w:rsidR="00B41C82" w:rsidRPr="00B41C82" w:rsidRDefault="00D7623B" w:rsidP="005159A8">
      <w:pPr>
        <w:numPr>
          <w:ilvl w:val="0"/>
          <w:numId w:val="2"/>
        </w:numPr>
        <w:tabs>
          <w:tab w:val="num" w:pos="540"/>
        </w:tabs>
        <w:spacing w:before="60" w:after="60" w:line="276" w:lineRule="auto"/>
        <w:rPr>
          <w:rFonts w:ascii="Calibri" w:hAnsi="Calibri" w:cs="Times New Roman"/>
          <w:sz w:val="24"/>
          <w:szCs w:val="24"/>
          <w:lang w:eastAsia="pl-PL"/>
        </w:rPr>
      </w:pPr>
      <w:r w:rsidRPr="00D7623B">
        <w:rPr>
          <w:rFonts w:ascii="Calibri" w:hAnsi="Calibri" w:cs="Times New Roman"/>
          <w:b/>
          <w:sz w:val="24"/>
          <w:szCs w:val="24"/>
          <w:lang w:eastAsia="pl-PL"/>
        </w:rPr>
        <w:t>Dyrektywa o prywatności i łączności elektronicznej</w:t>
      </w:r>
      <w:r w:rsidRPr="00D7623B">
        <w:rPr>
          <w:rFonts w:ascii="Calibri" w:hAnsi="Calibri" w:cs="Times New Roman"/>
          <w:sz w:val="24"/>
          <w:szCs w:val="24"/>
          <w:lang w:eastAsia="pl-PL"/>
        </w:rPr>
        <w:t xml:space="preserve"> </w:t>
      </w:r>
      <w:r>
        <w:rPr>
          <w:rFonts w:ascii="Calibri" w:hAnsi="Calibri" w:cs="Times New Roman"/>
          <w:sz w:val="24"/>
          <w:szCs w:val="24"/>
          <w:lang w:eastAsia="pl-PL"/>
        </w:rPr>
        <w:t xml:space="preserve">- </w:t>
      </w:r>
      <w:r w:rsidR="00B41C82" w:rsidRPr="00B41C82">
        <w:rPr>
          <w:rFonts w:ascii="Calibri" w:hAnsi="Calibri" w:cs="Times New Roman"/>
          <w:sz w:val="24"/>
          <w:szCs w:val="24"/>
          <w:lang w:eastAsia="pl-PL"/>
        </w:rPr>
        <w:t>Dyrektywa 2002/58/WE Parlamentu Europejskiego i Rady z dnia 12 lipca 2002 r. dotycząca przetwarzania danych osobowych i ochrony prywatności w sektorze łączności elektronicznej (dyrektywa o prywatności i łączności elektronicznej) (Dz.U.UE.L.200</w:t>
      </w:r>
      <w:r w:rsidR="00DC6D60">
        <w:rPr>
          <w:rFonts w:ascii="Calibri" w:hAnsi="Calibri" w:cs="Times New Roman"/>
          <w:sz w:val="24"/>
          <w:szCs w:val="24"/>
          <w:lang w:eastAsia="pl-PL"/>
        </w:rPr>
        <w:t>2.201.37  Dz.U.UE-sp.13-29-514).</w:t>
      </w:r>
    </w:p>
    <w:p w:rsidR="001C7FD9" w:rsidRDefault="001C7FD9" w:rsidP="005159A8">
      <w:pPr>
        <w:numPr>
          <w:ilvl w:val="0"/>
          <w:numId w:val="2"/>
        </w:numPr>
        <w:tabs>
          <w:tab w:val="num" w:pos="540"/>
        </w:tabs>
        <w:spacing w:before="60" w:after="60" w:line="276" w:lineRule="auto"/>
        <w:rPr>
          <w:rFonts w:ascii="Calibri" w:hAnsi="Calibri" w:cs="Times New Roman"/>
          <w:sz w:val="24"/>
          <w:szCs w:val="24"/>
          <w:lang w:eastAsia="pl-PL"/>
        </w:rPr>
      </w:pPr>
      <w:r w:rsidRPr="001C7FD9">
        <w:rPr>
          <w:rFonts w:ascii="Calibri" w:hAnsi="Calibri" w:cs="Times New Roman"/>
          <w:b/>
          <w:sz w:val="24"/>
          <w:szCs w:val="24"/>
          <w:lang w:eastAsia="pl-PL"/>
        </w:rPr>
        <w:t>Rozporządzenie o Rynku</w:t>
      </w:r>
      <w:r>
        <w:rPr>
          <w:rFonts w:ascii="Calibri" w:hAnsi="Calibri" w:cs="Times New Roman"/>
          <w:sz w:val="24"/>
          <w:szCs w:val="24"/>
          <w:lang w:eastAsia="pl-PL"/>
        </w:rPr>
        <w:t xml:space="preserve"> - Projekt Rozporządzenia</w:t>
      </w:r>
      <w:r w:rsidRPr="001C7FD9">
        <w:rPr>
          <w:rFonts w:ascii="Calibri" w:hAnsi="Calibri" w:cs="Times New Roman"/>
          <w:sz w:val="24"/>
          <w:szCs w:val="24"/>
          <w:lang w:eastAsia="pl-PL"/>
        </w:rPr>
        <w:t xml:space="preserve"> Parlamentu Europejskiego i Rady ustanawiającego środki dotyczące europejskiego jednolitego rynku łączności elektronicznej i mające na celu zapewnienie łączności na całym kontynencie, zmieniające dyrektywy 2002/20/WE, 2002/21/WE i 2002/22/WE oraz  rozporządzenia (WE) nr 1211/2009 i (UE) nr 531/2012</w:t>
      </w:r>
      <w:r w:rsidR="00DC6D60">
        <w:rPr>
          <w:rFonts w:ascii="Calibri" w:hAnsi="Calibri" w:cs="Times New Roman"/>
          <w:sz w:val="24"/>
          <w:szCs w:val="24"/>
          <w:lang w:eastAsia="pl-PL"/>
        </w:rPr>
        <w:t>.</w:t>
      </w:r>
    </w:p>
    <w:p w:rsidR="000A21B6" w:rsidRPr="00B41C82" w:rsidRDefault="000A21B6" w:rsidP="000A21B6">
      <w:pPr>
        <w:numPr>
          <w:ilvl w:val="0"/>
          <w:numId w:val="2"/>
        </w:numPr>
        <w:spacing w:before="60" w:after="60" w:line="276" w:lineRule="auto"/>
        <w:rPr>
          <w:rFonts w:ascii="Calibri" w:hAnsi="Calibri" w:cs="Times New Roman"/>
          <w:sz w:val="24"/>
          <w:szCs w:val="24"/>
          <w:lang w:eastAsia="pl-PL"/>
        </w:rPr>
      </w:pPr>
      <w:r w:rsidRPr="002164A6">
        <w:rPr>
          <w:rFonts w:ascii="Calibri" w:hAnsi="Calibri" w:cs="Times New Roman"/>
          <w:b/>
          <w:sz w:val="24"/>
          <w:szCs w:val="24"/>
          <w:lang w:eastAsia="pl-PL"/>
        </w:rPr>
        <w:t>Rozporządzenie KRI</w:t>
      </w:r>
      <w:r>
        <w:rPr>
          <w:rFonts w:ascii="Calibri" w:hAnsi="Calibri" w:cs="Times New Roman"/>
          <w:sz w:val="24"/>
          <w:szCs w:val="24"/>
          <w:lang w:eastAsia="pl-PL"/>
        </w:rPr>
        <w:t xml:space="preserve"> - </w:t>
      </w:r>
      <w:r w:rsidRPr="00600522">
        <w:rPr>
          <w:rFonts w:ascii="Calibri" w:hAnsi="Calibri" w:cs="Times New Roman"/>
          <w:sz w:val="24"/>
          <w:szCs w:val="24"/>
          <w:lang w:eastAsia="pl-PL"/>
        </w:rPr>
        <w:t xml:space="preserve">rozporządzenie Rady Ministrów z dnia 12 kwietnia 2012 r. w sprawie Krajowych Ram </w:t>
      </w:r>
      <w:proofErr w:type="spellStart"/>
      <w:r w:rsidRPr="00600522">
        <w:rPr>
          <w:rFonts w:ascii="Calibri" w:hAnsi="Calibri" w:cs="Times New Roman"/>
          <w:sz w:val="24"/>
          <w:szCs w:val="24"/>
          <w:lang w:eastAsia="pl-PL"/>
        </w:rPr>
        <w:t>Interopreracyjności</w:t>
      </w:r>
      <w:proofErr w:type="spellEnd"/>
      <w:r w:rsidRPr="00600522">
        <w:rPr>
          <w:rFonts w:ascii="Calibri" w:hAnsi="Calibri" w:cs="Times New Roman"/>
          <w:sz w:val="24"/>
          <w:szCs w:val="24"/>
          <w:lang w:eastAsia="pl-PL"/>
        </w:rPr>
        <w:t>, minimalnych wymagań dla rejestrów publicznych i wymiany informacji w postaci elektronicznej oraz minimalnych wymagań dla systemów tele</w:t>
      </w:r>
      <w:r>
        <w:rPr>
          <w:rFonts w:ascii="Calibri" w:hAnsi="Calibri" w:cs="Times New Roman"/>
          <w:sz w:val="24"/>
          <w:szCs w:val="24"/>
          <w:lang w:eastAsia="pl-PL"/>
        </w:rPr>
        <w:t>informatycznych (Dz.U.2012.526).</w:t>
      </w:r>
    </w:p>
    <w:p w:rsidR="002637FE" w:rsidRDefault="000A21B6">
      <w:pPr>
        <w:numPr>
          <w:ilvl w:val="0"/>
          <w:numId w:val="2"/>
        </w:numPr>
        <w:spacing w:before="60" w:after="60" w:line="276" w:lineRule="auto"/>
        <w:rPr>
          <w:rFonts w:ascii="Calibri" w:hAnsi="Calibri" w:cs="Times New Roman"/>
          <w:sz w:val="24"/>
          <w:szCs w:val="24"/>
          <w:u w:val="single"/>
          <w:lang w:eastAsia="pl-PL"/>
        </w:rPr>
      </w:pPr>
      <w:r w:rsidRPr="00CD4459">
        <w:rPr>
          <w:rFonts w:ascii="Calibri" w:hAnsi="Calibri" w:cs="Times New Roman"/>
          <w:b/>
          <w:sz w:val="24"/>
          <w:szCs w:val="24"/>
          <w:lang w:eastAsia="pl-PL"/>
        </w:rPr>
        <w:t>Rozporządzenie o testach</w:t>
      </w:r>
      <w:r>
        <w:rPr>
          <w:rFonts w:ascii="Calibri" w:hAnsi="Calibri" w:cs="Times New Roman"/>
          <w:sz w:val="24"/>
          <w:szCs w:val="24"/>
          <w:lang w:eastAsia="pl-PL"/>
        </w:rPr>
        <w:t xml:space="preserve"> - </w:t>
      </w:r>
      <w:r w:rsidRPr="00600522">
        <w:rPr>
          <w:rFonts w:ascii="Calibri" w:hAnsi="Calibri" w:cs="Times New Roman"/>
          <w:sz w:val="24"/>
          <w:szCs w:val="24"/>
          <w:lang w:eastAsia="pl-PL"/>
        </w:rPr>
        <w:t>rozporządzenie Ministra Nauki i Informatyzacji z dnia 19 października 2005 r. w sprawie testów akceptacyjnych oraz badania oprogramowania interfejsowego i weryfikacji te</w:t>
      </w:r>
      <w:r>
        <w:rPr>
          <w:rFonts w:ascii="Calibri" w:hAnsi="Calibri" w:cs="Times New Roman"/>
          <w:sz w:val="24"/>
          <w:szCs w:val="24"/>
          <w:lang w:eastAsia="pl-PL"/>
        </w:rPr>
        <w:t>go badania (Dz.U.2005.217.1836).</w:t>
      </w:r>
    </w:p>
    <w:p w:rsidR="00B41C82" w:rsidRPr="00B41C82" w:rsidRDefault="00D7623B" w:rsidP="005159A8">
      <w:pPr>
        <w:numPr>
          <w:ilvl w:val="0"/>
          <w:numId w:val="2"/>
        </w:numPr>
        <w:tabs>
          <w:tab w:val="num" w:pos="540"/>
        </w:tabs>
        <w:spacing w:before="60" w:after="60" w:line="276" w:lineRule="auto"/>
        <w:rPr>
          <w:rFonts w:ascii="Calibri" w:hAnsi="Calibri" w:cs="Times New Roman"/>
          <w:sz w:val="24"/>
          <w:szCs w:val="24"/>
          <w:lang w:eastAsia="pl-PL"/>
        </w:rPr>
      </w:pPr>
      <w:r w:rsidRPr="00D7623B">
        <w:rPr>
          <w:rFonts w:ascii="Calibri" w:hAnsi="Calibri" w:cs="Times New Roman"/>
          <w:b/>
          <w:sz w:val="24"/>
          <w:szCs w:val="24"/>
          <w:lang w:eastAsia="pl-PL"/>
        </w:rPr>
        <w:t>Konstytucja RP</w:t>
      </w:r>
      <w:r>
        <w:rPr>
          <w:rFonts w:ascii="Calibri" w:hAnsi="Calibri" w:cs="Times New Roman"/>
          <w:sz w:val="24"/>
          <w:szCs w:val="24"/>
          <w:lang w:eastAsia="pl-PL"/>
        </w:rPr>
        <w:t xml:space="preserve"> - </w:t>
      </w:r>
      <w:r w:rsidR="00B41C82" w:rsidRPr="00B41C82">
        <w:rPr>
          <w:rFonts w:ascii="Calibri" w:hAnsi="Calibri" w:cs="Times New Roman"/>
          <w:sz w:val="24"/>
          <w:szCs w:val="24"/>
          <w:lang w:eastAsia="pl-PL"/>
        </w:rPr>
        <w:t>Konstytucja Rzeczypospolitej Polskiej z dnia 2 kwietnia 1997 r. (D</w:t>
      </w:r>
      <w:r w:rsidR="00DC6D60">
        <w:rPr>
          <w:rFonts w:ascii="Calibri" w:hAnsi="Calibri" w:cs="Times New Roman"/>
          <w:sz w:val="24"/>
          <w:szCs w:val="24"/>
          <w:lang w:eastAsia="pl-PL"/>
        </w:rPr>
        <w:t>z.U.1997.78.483).</w:t>
      </w:r>
    </w:p>
    <w:p w:rsidR="00B41C82" w:rsidRPr="00B41C82" w:rsidRDefault="00D7623B" w:rsidP="005159A8">
      <w:pPr>
        <w:numPr>
          <w:ilvl w:val="0"/>
          <w:numId w:val="2"/>
        </w:numPr>
        <w:tabs>
          <w:tab w:val="num" w:pos="540"/>
        </w:tabs>
        <w:spacing w:before="60" w:after="60" w:line="276" w:lineRule="auto"/>
        <w:rPr>
          <w:rFonts w:ascii="Calibri" w:hAnsi="Calibri" w:cs="Times New Roman"/>
          <w:sz w:val="24"/>
          <w:szCs w:val="24"/>
          <w:lang w:eastAsia="pl-PL"/>
        </w:rPr>
      </w:pPr>
      <w:proofErr w:type="spellStart"/>
      <w:r w:rsidRPr="00D7623B">
        <w:rPr>
          <w:rFonts w:ascii="Calibri" w:hAnsi="Calibri" w:cs="Times New Roman"/>
          <w:b/>
          <w:sz w:val="24"/>
          <w:szCs w:val="24"/>
          <w:lang w:eastAsia="pl-PL"/>
        </w:rPr>
        <w:t>u.o.d.o</w:t>
      </w:r>
      <w:proofErr w:type="spellEnd"/>
      <w:r w:rsidRPr="00D7623B">
        <w:rPr>
          <w:rFonts w:ascii="Calibri" w:hAnsi="Calibri" w:cs="Times New Roman"/>
          <w:b/>
          <w:sz w:val="24"/>
          <w:szCs w:val="24"/>
          <w:lang w:eastAsia="pl-PL"/>
        </w:rPr>
        <w:t>.</w:t>
      </w:r>
      <w:r>
        <w:rPr>
          <w:rFonts w:ascii="Calibri" w:hAnsi="Calibri" w:cs="Times New Roman"/>
          <w:sz w:val="24"/>
          <w:szCs w:val="24"/>
          <w:lang w:eastAsia="pl-PL"/>
        </w:rPr>
        <w:t xml:space="preserve"> - </w:t>
      </w:r>
      <w:r w:rsidR="00B41C82" w:rsidRPr="00B41C82">
        <w:rPr>
          <w:rFonts w:ascii="Calibri" w:hAnsi="Calibri" w:cs="Times New Roman"/>
          <w:sz w:val="24"/>
          <w:szCs w:val="24"/>
          <w:lang w:eastAsia="pl-PL"/>
        </w:rPr>
        <w:t>ustawa z dnia 29 sierpnia 1997 r. o ochronie danych</w:t>
      </w:r>
      <w:r w:rsidR="00DC6D60">
        <w:rPr>
          <w:rFonts w:ascii="Calibri" w:hAnsi="Calibri" w:cs="Times New Roman"/>
          <w:sz w:val="24"/>
          <w:szCs w:val="24"/>
          <w:lang w:eastAsia="pl-PL"/>
        </w:rPr>
        <w:t xml:space="preserve"> osobowych (</w:t>
      </w:r>
      <w:proofErr w:type="spellStart"/>
      <w:r w:rsidR="00DC6D60">
        <w:rPr>
          <w:rFonts w:ascii="Calibri" w:hAnsi="Calibri" w:cs="Times New Roman"/>
          <w:sz w:val="24"/>
          <w:szCs w:val="24"/>
          <w:lang w:eastAsia="pl-PL"/>
        </w:rPr>
        <w:t>Dz.U</w:t>
      </w:r>
      <w:proofErr w:type="spellEnd"/>
      <w:r w:rsidR="00DC6D60">
        <w:rPr>
          <w:rFonts w:ascii="Calibri" w:hAnsi="Calibri" w:cs="Times New Roman"/>
          <w:sz w:val="24"/>
          <w:szCs w:val="24"/>
          <w:lang w:eastAsia="pl-PL"/>
        </w:rPr>
        <w:t>. 2002.101.926).</w:t>
      </w:r>
    </w:p>
    <w:p w:rsidR="00B41C82" w:rsidRPr="00B41C82" w:rsidRDefault="0090131F" w:rsidP="005159A8">
      <w:pPr>
        <w:numPr>
          <w:ilvl w:val="0"/>
          <w:numId w:val="2"/>
        </w:numPr>
        <w:tabs>
          <w:tab w:val="num" w:pos="540"/>
        </w:tabs>
        <w:spacing w:before="60" w:after="60" w:line="276" w:lineRule="auto"/>
        <w:rPr>
          <w:rFonts w:ascii="Calibri" w:hAnsi="Calibri" w:cs="Times New Roman"/>
          <w:sz w:val="24"/>
          <w:szCs w:val="24"/>
          <w:lang w:eastAsia="pl-PL"/>
        </w:rPr>
      </w:pPr>
      <w:proofErr w:type="spellStart"/>
      <w:r w:rsidRPr="0090131F">
        <w:rPr>
          <w:rFonts w:ascii="Calibri" w:hAnsi="Calibri" w:cs="Times New Roman"/>
          <w:b/>
          <w:sz w:val="24"/>
          <w:szCs w:val="24"/>
          <w:lang w:eastAsia="pl-PL"/>
        </w:rPr>
        <w:t>u.ś.u.d.e</w:t>
      </w:r>
      <w:proofErr w:type="spellEnd"/>
      <w:r w:rsidRPr="0090131F">
        <w:rPr>
          <w:rFonts w:ascii="Calibri" w:hAnsi="Calibri" w:cs="Times New Roman"/>
          <w:b/>
          <w:sz w:val="24"/>
          <w:szCs w:val="24"/>
          <w:lang w:eastAsia="pl-PL"/>
        </w:rPr>
        <w:t>.</w:t>
      </w:r>
      <w:r>
        <w:rPr>
          <w:rFonts w:ascii="Calibri" w:hAnsi="Calibri" w:cs="Times New Roman"/>
          <w:sz w:val="24"/>
          <w:szCs w:val="24"/>
          <w:lang w:eastAsia="pl-PL"/>
        </w:rPr>
        <w:t xml:space="preserve"> - </w:t>
      </w:r>
      <w:r w:rsidR="00B41C82" w:rsidRPr="00B41C82">
        <w:rPr>
          <w:rFonts w:ascii="Calibri" w:hAnsi="Calibri" w:cs="Times New Roman"/>
          <w:sz w:val="24"/>
          <w:szCs w:val="24"/>
          <w:lang w:eastAsia="pl-PL"/>
        </w:rPr>
        <w:t>ustawa z dnia 18 lipca 2002 r. o świadczeniu usług drogą ele</w:t>
      </w:r>
      <w:r w:rsidR="00DC6D60">
        <w:rPr>
          <w:rFonts w:ascii="Calibri" w:hAnsi="Calibri" w:cs="Times New Roman"/>
          <w:sz w:val="24"/>
          <w:szCs w:val="24"/>
          <w:lang w:eastAsia="pl-PL"/>
        </w:rPr>
        <w:t>ktroniczną (Dz.W.2002.144.1204).</w:t>
      </w:r>
    </w:p>
    <w:p w:rsidR="00B41C82" w:rsidRPr="00B41C82" w:rsidRDefault="0090131F" w:rsidP="005159A8">
      <w:pPr>
        <w:numPr>
          <w:ilvl w:val="0"/>
          <w:numId w:val="2"/>
        </w:numPr>
        <w:tabs>
          <w:tab w:val="num" w:pos="540"/>
        </w:tabs>
        <w:spacing w:before="60" w:after="60" w:line="276" w:lineRule="auto"/>
        <w:rPr>
          <w:rFonts w:ascii="Calibri" w:hAnsi="Calibri" w:cs="Times New Roman"/>
          <w:sz w:val="24"/>
          <w:szCs w:val="24"/>
          <w:lang w:eastAsia="pl-PL"/>
        </w:rPr>
      </w:pPr>
      <w:proofErr w:type="spellStart"/>
      <w:r w:rsidRPr="0090131F">
        <w:rPr>
          <w:rFonts w:ascii="Calibri" w:hAnsi="Calibri" w:cs="Times New Roman"/>
          <w:b/>
          <w:sz w:val="24"/>
          <w:szCs w:val="24"/>
          <w:lang w:eastAsia="pl-PL"/>
        </w:rPr>
        <w:t>u.b.d</w:t>
      </w:r>
      <w:proofErr w:type="spellEnd"/>
      <w:r w:rsidRPr="0090131F">
        <w:rPr>
          <w:rFonts w:ascii="Calibri" w:hAnsi="Calibri" w:cs="Times New Roman"/>
          <w:b/>
          <w:sz w:val="24"/>
          <w:szCs w:val="24"/>
          <w:lang w:eastAsia="pl-PL"/>
        </w:rPr>
        <w:t>.</w:t>
      </w:r>
      <w:r>
        <w:rPr>
          <w:rFonts w:ascii="Calibri" w:hAnsi="Calibri" w:cs="Times New Roman"/>
          <w:sz w:val="24"/>
          <w:szCs w:val="24"/>
          <w:lang w:eastAsia="pl-PL"/>
        </w:rPr>
        <w:t xml:space="preserve"> - </w:t>
      </w:r>
      <w:r w:rsidR="00B41C82" w:rsidRPr="00B41C82">
        <w:rPr>
          <w:rFonts w:ascii="Calibri" w:hAnsi="Calibri" w:cs="Times New Roman"/>
          <w:sz w:val="24"/>
          <w:szCs w:val="24"/>
          <w:lang w:eastAsia="pl-PL"/>
        </w:rPr>
        <w:t xml:space="preserve">ustawa z dnia 27 lipca 2001 r. o ochronie </w:t>
      </w:r>
      <w:r w:rsidR="00DC6D60">
        <w:rPr>
          <w:rFonts w:ascii="Calibri" w:hAnsi="Calibri" w:cs="Times New Roman"/>
          <w:sz w:val="24"/>
          <w:szCs w:val="24"/>
          <w:lang w:eastAsia="pl-PL"/>
        </w:rPr>
        <w:t>baz danych (Dz.U.2001.128.1402).</w:t>
      </w:r>
    </w:p>
    <w:p w:rsidR="00B41C82" w:rsidRPr="00B41C82" w:rsidRDefault="008F1AEC" w:rsidP="005159A8">
      <w:pPr>
        <w:numPr>
          <w:ilvl w:val="0"/>
          <w:numId w:val="2"/>
        </w:numPr>
        <w:tabs>
          <w:tab w:val="num" w:pos="540"/>
        </w:tabs>
        <w:spacing w:before="60" w:after="60" w:line="276" w:lineRule="auto"/>
        <w:rPr>
          <w:rFonts w:ascii="Calibri" w:hAnsi="Calibri" w:cs="Times New Roman"/>
          <w:sz w:val="24"/>
          <w:szCs w:val="24"/>
          <w:lang w:eastAsia="pl-PL"/>
        </w:rPr>
      </w:pPr>
      <w:proofErr w:type="spellStart"/>
      <w:r w:rsidRPr="008F1AEC">
        <w:rPr>
          <w:rFonts w:ascii="Calibri" w:hAnsi="Calibri" w:cs="Times New Roman"/>
          <w:b/>
          <w:sz w:val="24"/>
          <w:szCs w:val="24"/>
          <w:lang w:eastAsia="pl-PL"/>
        </w:rPr>
        <w:t>u.o.i.n</w:t>
      </w:r>
      <w:proofErr w:type="spellEnd"/>
      <w:r w:rsidRPr="008F1AEC">
        <w:rPr>
          <w:rFonts w:ascii="Calibri" w:hAnsi="Calibri" w:cs="Times New Roman"/>
          <w:b/>
          <w:sz w:val="24"/>
          <w:szCs w:val="24"/>
          <w:lang w:eastAsia="pl-PL"/>
        </w:rPr>
        <w:t>.</w:t>
      </w:r>
      <w:r>
        <w:rPr>
          <w:rFonts w:ascii="Calibri" w:hAnsi="Calibri" w:cs="Times New Roman"/>
          <w:sz w:val="24"/>
          <w:szCs w:val="24"/>
          <w:lang w:eastAsia="pl-PL"/>
        </w:rPr>
        <w:t xml:space="preserve"> - </w:t>
      </w:r>
      <w:r w:rsidR="00B41C82" w:rsidRPr="00B41C82">
        <w:rPr>
          <w:rFonts w:ascii="Calibri" w:hAnsi="Calibri" w:cs="Times New Roman"/>
          <w:sz w:val="24"/>
          <w:szCs w:val="24"/>
          <w:lang w:eastAsia="pl-PL"/>
        </w:rPr>
        <w:t xml:space="preserve">ustawa z dnia 5 sierpnia 2010 r. o ochronie informacji </w:t>
      </w:r>
      <w:r w:rsidR="00DC6D60">
        <w:rPr>
          <w:rFonts w:ascii="Calibri" w:hAnsi="Calibri" w:cs="Times New Roman"/>
          <w:sz w:val="24"/>
          <w:szCs w:val="24"/>
          <w:lang w:eastAsia="pl-PL"/>
        </w:rPr>
        <w:t>niejawnych (Dz.U.2010.182.1228).</w:t>
      </w:r>
    </w:p>
    <w:p w:rsidR="00B41C82" w:rsidRPr="00B41C82" w:rsidRDefault="008F1AEC" w:rsidP="005159A8">
      <w:pPr>
        <w:numPr>
          <w:ilvl w:val="0"/>
          <w:numId w:val="2"/>
        </w:numPr>
        <w:tabs>
          <w:tab w:val="num" w:pos="540"/>
        </w:tabs>
        <w:spacing w:before="60" w:after="60" w:line="276" w:lineRule="auto"/>
        <w:rPr>
          <w:rFonts w:ascii="Calibri" w:hAnsi="Calibri" w:cs="Times New Roman"/>
          <w:sz w:val="24"/>
          <w:szCs w:val="24"/>
          <w:lang w:eastAsia="pl-PL"/>
        </w:rPr>
      </w:pPr>
      <w:proofErr w:type="spellStart"/>
      <w:r w:rsidRPr="008F1AEC">
        <w:rPr>
          <w:rFonts w:ascii="Calibri" w:hAnsi="Calibri" w:cs="Times New Roman"/>
          <w:b/>
          <w:sz w:val="24"/>
          <w:szCs w:val="24"/>
          <w:lang w:eastAsia="pl-PL"/>
        </w:rPr>
        <w:t>u.d.i.p</w:t>
      </w:r>
      <w:proofErr w:type="spellEnd"/>
      <w:r w:rsidRPr="008F1AEC">
        <w:rPr>
          <w:rFonts w:ascii="Calibri" w:hAnsi="Calibri" w:cs="Times New Roman"/>
          <w:b/>
          <w:sz w:val="24"/>
          <w:szCs w:val="24"/>
          <w:lang w:eastAsia="pl-PL"/>
        </w:rPr>
        <w:t>.</w:t>
      </w:r>
      <w:r>
        <w:rPr>
          <w:rFonts w:ascii="Calibri" w:hAnsi="Calibri" w:cs="Times New Roman"/>
          <w:sz w:val="24"/>
          <w:szCs w:val="24"/>
          <w:lang w:eastAsia="pl-PL"/>
        </w:rPr>
        <w:t xml:space="preserve"> - </w:t>
      </w:r>
      <w:r w:rsidR="00B41C82" w:rsidRPr="00B41C82">
        <w:rPr>
          <w:rFonts w:ascii="Calibri" w:hAnsi="Calibri" w:cs="Times New Roman"/>
          <w:sz w:val="24"/>
          <w:szCs w:val="24"/>
          <w:lang w:eastAsia="pl-PL"/>
        </w:rPr>
        <w:t xml:space="preserve">ustawa z dnia 6 września 2001 r. o dostępie do informacji </w:t>
      </w:r>
      <w:r w:rsidR="00DC6D60">
        <w:rPr>
          <w:rFonts w:ascii="Calibri" w:hAnsi="Calibri" w:cs="Times New Roman"/>
          <w:sz w:val="24"/>
          <w:szCs w:val="24"/>
          <w:lang w:eastAsia="pl-PL"/>
        </w:rPr>
        <w:t>publicznej (Dz.U.2001.112.1198).</w:t>
      </w:r>
    </w:p>
    <w:p w:rsidR="00B41C82" w:rsidRPr="00B41C82" w:rsidRDefault="008F1AEC" w:rsidP="005159A8">
      <w:pPr>
        <w:numPr>
          <w:ilvl w:val="0"/>
          <w:numId w:val="2"/>
        </w:numPr>
        <w:spacing w:before="60" w:after="60" w:line="276" w:lineRule="auto"/>
        <w:rPr>
          <w:rFonts w:ascii="Calibri" w:hAnsi="Calibri" w:cs="Times New Roman"/>
          <w:sz w:val="24"/>
          <w:szCs w:val="24"/>
          <w:lang w:eastAsia="pl-PL"/>
        </w:rPr>
      </w:pPr>
      <w:proofErr w:type="spellStart"/>
      <w:r w:rsidRPr="008F1AEC">
        <w:rPr>
          <w:rFonts w:ascii="Calibri" w:hAnsi="Calibri" w:cs="Times New Roman"/>
          <w:b/>
          <w:sz w:val="24"/>
          <w:szCs w:val="24"/>
          <w:lang w:eastAsia="pl-PL"/>
        </w:rPr>
        <w:t>u.i.p</w:t>
      </w:r>
      <w:proofErr w:type="spellEnd"/>
      <w:r w:rsidRPr="008F1AEC">
        <w:rPr>
          <w:rFonts w:ascii="Calibri" w:hAnsi="Calibri" w:cs="Times New Roman"/>
          <w:b/>
          <w:sz w:val="24"/>
          <w:szCs w:val="24"/>
          <w:lang w:eastAsia="pl-PL"/>
        </w:rPr>
        <w:t>.</w:t>
      </w:r>
      <w:r>
        <w:rPr>
          <w:rFonts w:ascii="Calibri" w:hAnsi="Calibri" w:cs="Times New Roman"/>
          <w:sz w:val="24"/>
          <w:szCs w:val="24"/>
          <w:lang w:eastAsia="pl-PL"/>
        </w:rPr>
        <w:t xml:space="preserve"> - </w:t>
      </w:r>
      <w:r w:rsidR="00B41C82" w:rsidRPr="00600522">
        <w:rPr>
          <w:rFonts w:ascii="Calibri" w:hAnsi="Calibri" w:cs="Times New Roman"/>
          <w:sz w:val="24"/>
          <w:szCs w:val="24"/>
          <w:lang w:eastAsia="pl-PL"/>
        </w:rPr>
        <w:t>ustawa z dnia 17 lutego 2005 r. o informatyzacji działalności podmiotów realizujących za</w:t>
      </w:r>
      <w:r w:rsidR="00DC6D60">
        <w:rPr>
          <w:rFonts w:ascii="Calibri" w:hAnsi="Calibri" w:cs="Times New Roman"/>
          <w:sz w:val="24"/>
          <w:szCs w:val="24"/>
          <w:lang w:eastAsia="pl-PL"/>
        </w:rPr>
        <w:t>dania publiczne (Dz.U.2013.235).</w:t>
      </w:r>
    </w:p>
    <w:p w:rsidR="00B41C82" w:rsidRPr="00B41C82" w:rsidRDefault="008F1AEC" w:rsidP="005159A8">
      <w:pPr>
        <w:numPr>
          <w:ilvl w:val="0"/>
          <w:numId w:val="2"/>
        </w:numPr>
        <w:spacing w:before="60" w:after="60" w:line="276" w:lineRule="auto"/>
        <w:rPr>
          <w:rFonts w:ascii="Calibri" w:hAnsi="Calibri" w:cs="Times New Roman"/>
          <w:sz w:val="24"/>
          <w:szCs w:val="24"/>
          <w:lang w:eastAsia="pl-PL"/>
        </w:rPr>
      </w:pPr>
      <w:proofErr w:type="spellStart"/>
      <w:r w:rsidRPr="008F1AEC">
        <w:rPr>
          <w:rFonts w:ascii="Calibri" w:hAnsi="Calibri" w:cs="Times New Roman"/>
          <w:b/>
          <w:sz w:val="24"/>
          <w:szCs w:val="24"/>
          <w:lang w:eastAsia="pl-PL"/>
        </w:rPr>
        <w:t>u.k.e</w:t>
      </w:r>
      <w:proofErr w:type="spellEnd"/>
      <w:r w:rsidRPr="008F1AEC">
        <w:rPr>
          <w:rFonts w:ascii="Calibri" w:hAnsi="Calibri" w:cs="Times New Roman"/>
          <w:b/>
          <w:sz w:val="24"/>
          <w:szCs w:val="24"/>
          <w:lang w:eastAsia="pl-PL"/>
        </w:rPr>
        <w:t>.</w:t>
      </w:r>
      <w:r>
        <w:rPr>
          <w:rFonts w:ascii="Calibri" w:hAnsi="Calibri" w:cs="Times New Roman"/>
          <w:sz w:val="24"/>
          <w:szCs w:val="24"/>
          <w:lang w:eastAsia="pl-PL"/>
        </w:rPr>
        <w:t xml:space="preserve"> - </w:t>
      </w:r>
      <w:r w:rsidR="00B41C82" w:rsidRPr="00600522">
        <w:rPr>
          <w:rFonts w:ascii="Calibri" w:hAnsi="Calibri" w:cs="Times New Roman"/>
          <w:sz w:val="24"/>
          <w:szCs w:val="24"/>
          <w:lang w:eastAsia="pl-PL"/>
        </w:rPr>
        <w:t>ustawa z dnia 13 kwietnia 2007 r. o kompatybilności elektro</w:t>
      </w:r>
      <w:r w:rsidR="00DC6D60">
        <w:rPr>
          <w:rFonts w:ascii="Calibri" w:hAnsi="Calibri" w:cs="Times New Roman"/>
          <w:sz w:val="24"/>
          <w:szCs w:val="24"/>
          <w:lang w:eastAsia="pl-PL"/>
        </w:rPr>
        <w:t>magnetycznej (Dz.U.2007.82.556).</w:t>
      </w:r>
    </w:p>
    <w:p w:rsidR="00B41C82" w:rsidRPr="00B41C82" w:rsidRDefault="008F1AEC" w:rsidP="005159A8">
      <w:pPr>
        <w:numPr>
          <w:ilvl w:val="0"/>
          <w:numId w:val="2"/>
        </w:numPr>
        <w:spacing w:before="60" w:after="60" w:line="276" w:lineRule="auto"/>
        <w:rPr>
          <w:rFonts w:ascii="Calibri" w:hAnsi="Calibri" w:cs="Times New Roman"/>
          <w:sz w:val="24"/>
          <w:szCs w:val="24"/>
          <w:lang w:eastAsia="pl-PL"/>
        </w:rPr>
      </w:pPr>
      <w:proofErr w:type="spellStart"/>
      <w:r w:rsidRPr="008F1AEC">
        <w:rPr>
          <w:rFonts w:ascii="Calibri" w:hAnsi="Calibri" w:cs="Times New Roman"/>
          <w:b/>
          <w:sz w:val="24"/>
          <w:szCs w:val="24"/>
          <w:lang w:eastAsia="pl-PL"/>
        </w:rPr>
        <w:t>u.s.o.z</w:t>
      </w:r>
      <w:proofErr w:type="spellEnd"/>
      <w:r w:rsidRPr="008F1AEC">
        <w:rPr>
          <w:rFonts w:ascii="Calibri" w:hAnsi="Calibri" w:cs="Times New Roman"/>
          <w:b/>
          <w:sz w:val="24"/>
          <w:szCs w:val="24"/>
          <w:lang w:eastAsia="pl-PL"/>
        </w:rPr>
        <w:t>.</w:t>
      </w:r>
      <w:r>
        <w:rPr>
          <w:rFonts w:ascii="Calibri" w:hAnsi="Calibri" w:cs="Times New Roman"/>
          <w:sz w:val="24"/>
          <w:szCs w:val="24"/>
          <w:lang w:eastAsia="pl-PL"/>
        </w:rPr>
        <w:t xml:space="preserve"> -</w:t>
      </w:r>
      <w:r w:rsidR="00B41C82" w:rsidRPr="00600522">
        <w:rPr>
          <w:rFonts w:ascii="Calibri" w:hAnsi="Calibri" w:cs="Times New Roman"/>
          <w:sz w:val="24"/>
          <w:szCs w:val="24"/>
          <w:lang w:eastAsia="pl-PL"/>
        </w:rPr>
        <w:t>ustawa z dnia 30 sierpnia 2002 r. o systemie ocen</w:t>
      </w:r>
      <w:r w:rsidR="00DC6D60">
        <w:rPr>
          <w:rFonts w:ascii="Calibri" w:hAnsi="Calibri" w:cs="Times New Roman"/>
          <w:sz w:val="24"/>
          <w:szCs w:val="24"/>
          <w:lang w:eastAsia="pl-PL"/>
        </w:rPr>
        <w:t>y zgodności (Dz.U.2010.138.935).</w:t>
      </w:r>
    </w:p>
    <w:p w:rsidR="00B41C82" w:rsidRPr="00B41C82" w:rsidRDefault="002164A6" w:rsidP="005159A8">
      <w:pPr>
        <w:numPr>
          <w:ilvl w:val="0"/>
          <w:numId w:val="2"/>
        </w:numPr>
        <w:spacing w:before="60" w:after="60" w:line="276" w:lineRule="auto"/>
        <w:rPr>
          <w:rFonts w:ascii="Calibri" w:hAnsi="Calibri" w:cs="Times New Roman"/>
          <w:sz w:val="24"/>
          <w:szCs w:val="24"/>
          <w:lang w:eastAsia="pl-PL"/>
        </w:rPr>
      </w:pPr>
      <w:proofErr w:type="spellStart"/>
      <w:r w:rsidRPr="002164A6">
        <w:rPr>
          <w:rFonts w:ascii="Calibri" w:hAnsi="Calibri" w:cs="Times New Roman"/>
          <w:b/>
          <w:sz w:val="24"/>
          <w:szCs w:val="24"/>
          <w:lang w:eastAsia="pl-PL"/>
        </w:rPr>
        <w:t>u.s.p.r</w:t>
      </w:r>
      <w:proofErr w:type="spellEnd"/>
      <w:r>
        <w:rPr>
          <w:rFonts w:ascii="Calibri" w:hAnsi="Calibri" w:cs="Times New Roman"/>
          <w:sz w:val="24"/>
          <w:szCs w:val="24"/>
          <w:lang w:eastAsia="pl-PL"/>
        </w:rPr>
        <w:t xml:space="preserve">. - </w:t>
      </w:r>
      <w:r w:rsidR="00B41C82" w:rsidRPr="00600522">
        <w:rPr>
          <w:rFonts w:ascii="Calibri" w:hAnsi="Calibri" w:cs="Times New Roman"/>
          <w:sz w:val="24"/>
          <w:szCs w:val="24"/>
          <w:lang w:eastAsia="pl-PL"/>
        </w:rPr>
        <w:t>ustawa z dnia 22 listopada 2013 r. o systemie powiadamian</w:t>
      </w:r>
      <w:r w:rsidR="00DC6D60">
        <w:rPr>
          <w:rFonts w:ascii="Calibri" w:hAnsi="Calibri" w:cs="Times New Roman"/>
          <w:sz w:val="24"/>
          <w:szCs w:val="24"/>
          <w:lang w:eastAsia="pl-PL"/>
        </w:rPr>
        <w:t>ia ratunkowego (Dz.U.2013.1635).</w:t>
      </w:r>
    </w:p>
    <w:p w:rsidR="009E36FD" w:rsidRPr="00082560" w:rsidRDefault="000F65F5" w:rsidP="00082560">
      <w:pPr>
        <w:pStyle w:val="Nagwek1"/>
        <w:pBdr>
          <w:top w:val="none" w:sz="0" w:space="0" w:color="auto"/>
        </w:pBdr>
        <w:rPr>
          <w:rFonts w:ascii="Calibri" w:hAnsi="Calibri" w:cs="Arial"/>
          <w:b/>
          <w:color w:val="17365D"/>
          <w:lang w:val="pl-PL"/>
        </w:rPr>
      </w:pPr>
      <w:bookmarkStart w:id="3" w:name="_Toc397590102"/>
      <w:r w:rsidRPr="000F65F5">
        <w:rPr>
          <w:rFonts w:ascii="Calibri" w:hAnsi="Calibri" w:cs="Arial"/>
          <w:b/>
          <w:color w:val="17365D"/>
          <w:lang w:val="pl-PL"/>
        </w:rPr>
        <w:t>Terminy</w:t>
      </w:r>
      <w:bookmarkEnd w:id="3"/>
    </w:p>
    <w:p w:rsidR="009E36FD" w:rsidRPr="004F057F" w:rsidRDefault="009E36FD" w:rsidP="00F02BFE">
      <w:pPr>
        <w:pStyle w:val="Kolorowalistaakcent11"/>
        <w:spacing w:line="276" w:lineRule="auto"/>
        <w:rPr>
          <w:rFonts w:ascii="Calibri" w:hAnsi="Calibri" w:cs="Times New Roman"/>
          <w:sz w:val="24"/>
          <w:szCs w:val="24"/>
          <w:lang w:eastAsia="pl-PL"/>
        </w:rPr>
      </w:pPr>
    </w:p>
    <w:p w:rsidR="002637FE" w:rsidRDefault="003628C8">
      <w:pPr>
        <w:pStyle w:val="Lista2"/>
        <w:numPr>
          <w:ilvl w:val="0"/>
          <w:numId w:val="4"/>
        </w:numPr>
        <w:spacing w:line="276" w:lineRule="auto"/>
        <w:jc w:val="both"/>
        <w:rPr>
          <w:rFonts w:ascii="Calibri" w:hAnsi="Calibri"/>
          <w:sz w:val="24"/>
          <w:szCs w:val="24"/>
        </w:rPr>
      </w:pPr>
      <w:r w:rsidRPr="00082560">
        <w:rPr>
          <w:rFonts w:ascii="Calibri" w:hAnsi="Calibri"/>
          <w:b/>
          <w:sz w:val="24"/>
          <w:szCs w:val="24"/>
        </w:rPr>
        <w:t>Abonent</w:t>
      </w:r>
      <w:r w:rsidRPr="00082560">
        <w:rPr>
          <w:rFonts w:ascii="Calibri" w:hAnsi="Calibri"/>
          <w:sz w:val="24"/>
          <w:szCs w:val="24"/>
        </w:rPr>
        <w:t xml:space="preserve"> - podmiot, który jest stroną umowy o świadczenie </w:t>
      </w:r>
      <w:r>
        <w:rPr>
          <w:rFonts w:ascii="Calibri" w:hAnsi="Calibri"/>
          <w:sz w:val="24"/>
          <w:szCs w:val="24"/>
        </w:rPr>
        <w:t xml:space="preserve">publicznie dostępnych usług telekomunikacyjnych </w:t>
      </w:r>
      <w:r w:rsidRPr="00082560">
        <w:rPr>
          <w:rFonts w:ascii="Calibri" w:hAnsi="Calibri"/>
          <w:sz w:val="24"/>
          <w:szCs w:val="24"/>
        </w:rPr>
        <w:t>zawartej z dostawcą publicznie dostępnych usług telekomunikacyjnych</w:t>
      </w:r>
      <w:r>
        <w:rPr>
          <w:rFonts w:ascii="Calibri" w:hAnsi="Calibri"/>
          <w:sz w:val="24"/>
          <w:szCs w:val="24"/>
        </w:rPr>
        <w:t xml:space="preserve">, </w:t>
      </w:r>
      <w:r w:rsidRPr="00363A83">
        <w:rPr>
          <w:rFonts w:ascii="Calibri" w:hAnsi="Calibri"/>
          <w:sz w:val="24"/>
          <w:szCs w:val="24"/>
        </w:rPr>
        <w:t>w której Abonentowi przydzielony jest numer z Planu Numeracji Krajowej (PNK) dla publicznych sieci telekomunikacyjnych.</w:t>
      </w:r>
    </w:p>
    <w:p w:rsidR="00082560" w:rsidRPr="00082560" w:rsidRDefault="00082560" w:rsidP="00082560">
      <w:pPr>
        <w:pStyle w:val="Lista2"/>
        <w:numPr>
          <w:ilvl w:val="0"/>
          <w:numId w:val="4"/>
        </w:numPr>
        <w:spacing w:line="276" w:lineRule="auto"/>
        <w:jc w:val="both"/>
        <w:rPr>
          <w:rFonts w:ascii="Calibri" w:hAnsi="Calibri" w:cs="Arial"/>
          <w:sz w:val="24"/>
          <w:szCs w:val="24"/>
        </w:rPr>
      </w:pPr>
      <w:r w:rsidRPr="00082560">
        <w:rPr>
          <w:rFonts w:ascii="Calibri" w:hAnsi="Calibri" w:cs="Arial"/>
          <w:b/>
          <w:bCs/>
          <w:sz w:val="24"/>
          <w:szCs w:val="24"/>
        </w:rPr>
        <w:t xml:space="preserve">Anulowanie Zamówienia Migracji </w:t>
      </w:r>
      <w:r w:rsidRPr="00082560">
        <w:rPr>
          <w:rFonts w:ascii="Calibri" w:hAnsi="Calibri" w:cs="Arial"/>
          <w:sz w:val="24"/>
          <w:szCs w:val="24"/>
        </w:rPr>
        <w:t>- proces anulowania realizacji Zamówienia</w:t>
      </w:r>
      <w:r>
        <w:rPr>
          <w:rFonts w:ascii="Calibri" w:hAnsi="Calibri" w:cs="Arial"/>
          <w:sz w:val="24"/>
          <w:szCs w:val="24"/>
        </w:rPr>
        <w:t xml:space="preserve"> Migracji.</w:t>
      </w:r>
    </w:p>
    <w:p w:rsidR="004567BF" w:rsidRPr="001B6526" w:rsidRDefault="00082560" w:rsidP="00E7327C">
      <w:pPr>
        <w:pStyle w:val="Lista2"/>
        <w:numPr>
          <w:ilvl w:val="0"/>
          <w:numId w:val="4"/>
        </w:numPr>
        <w:spacing w:line="276" w:lineRule="auto"/>
        <w:jc w:val="both"/>
        <w:rPr>
          <w:rFonts w:ascii="Calibri" w:hAnsi="Calibri"/>
          <w:sz w:val="24"/>
          <w:szCs w:val="24"/>
        </w:rPr>
      </w:pPr>
      <w:r w:rsidRPr="00082560">
        <w:rPr>
          <w:rFonts w:ascii="Calibri" w:hAnsi="Calibri"/>
          <w:b/>
          <w:sz w:val="24"/>
          <w:szCs w:val="24"/>
        </w:rPr>
        <w:t xml:space="preserve">Biorca </w:t>
      </w:r>
      <w:r w:rsidRPr="00082560">
        <w:rPr>
          <w:rFonts w:ascii="Calibri" w:hAnsi="Calibri"/>
          <w:sz w:val="24"/>
          <w:szCs w:val="24"/>
        </w:rPr>
        <w:t>lub</w:t>
      </w:r>
      <w:r w:rsidRPr="00082560">
        <w:rPr>
          <w:rFonts w:ascii="Calibri" w:hAnsi="Calibri"/>
          <w:b/>
          <w:sz w:val="24"/>
          <w:szCs w:val="24"/>
        </w:rPr>
        <w:t xml:space="preserve"> nowy dostawca usług</w:t>
      </w:r>
      <w:r w:rsidRPr="00082560">
        <w:rPr>
          <w:rFonts w:ascii="Calibri" w:hAnsi="Calibri"/>
          <w:sz w:val="24"/>
          <w:szCs w:val="24"/>
        </w:rPr>
        <w:t xml:space="preserve"> - </w:t>
      </w:r>
      <w:r w:rsidR="00350945">
        <w:rPr>
          <w:rFonts w:ascii="Calibri" w:hAnsi="Calibri"/>
          <w:sz w:val="24"/>
          <w:szCs w:val="24"/>
        </w:rPr>
        <w:t>nowy dostawca usług</w:t>
      </w:r>
      <w:r w:rsidR="00777263">
        <w:rPr>
          <w:rFonts w:ascii="Calibri" w:hAnsi="Calibri"/>
          <w:sz w:val="24"/>
          <w:szCs w:val="24"/>
        </w:rPr>
        <w:t xml:space="preserve">, </w:t>
      </w:r>
      <w:r w:rsidR="00C4735B">
        <w:rPr>
          <w:rFonts w:ascii="Calibri" w:hAnsi="Calibri"/>
          <w:sz w:val="24"/>
          <w:szCs w:val="24"/>
        </w:rPr>
        <w:t xml:space="preserve">który </w:t>
      </w:r>
      <w:r w:rsidR="00350945">
        <w:rPr>
          <w:rFonts w:ascii="Calibri" w:hAnsi="Calibri"/>
          <w:sz w:val="24"/>
          <w:szCs w:val="24"/>
        </w:rPr>
        <w:t xml:space="preserve">będzie świadczył usługi telekomunikacyjne na rzecz Abonenta </w:t>
      </w:r>
      <w:r w:rsidR="00B7358D" w:rsidRPr="00B7358D">
        <w:rPr>
          <w:rFonts w:ascii="Calibri" w:hAnsi="Calibri"/>
          <w:sz w:val="24"/>
          <w:szCs w:val="24"/>
        </w:rPr>
        <w:t xml:space="preserve">na podstawie umowy o świadczenie </w:t>
      </w:r>
      <w:r w:rsidR="0046403D">
        <w:rPr>
          <w:rFonts w:ascii="Calibri" w:hAnsi="Calibri"/>
          <w:sz w:val="24"/>
          <w:szCs w:val="24"/>
        </w:rPr>
        <w:t xml:space="preserve">publicznie dostępnych </w:t>
      </w:r>
      <w:r w:rsidR="00B7358D" w:rsidRPr="00B7358D">
        <w:rPr>
          <w:rFonts w:ascii="Calibri" w:hAnsi="Calibri"/>
          <w:sz w:val="24"/>
          <w:szCs w:val="24"/>
        </w:rPr>
        <w:t xml:space="preserve">usług telekomunikacyjnych </w:t>
      </w:r>
      <w:r w:rsidR="00B7358D">
        <w:rPr>
          <w:rFonts w:ascii="Calibri" w:hAnsi="Calibri"/>
          <w:sz w:val="24"/>
          <w:szCs w:val="24"/>
        </w:rPr>
        <w:t xml:space="preserve">z przeniesieniem </w:t>
      </w:r>
      <w:r w:rsidR="00B0054F">
        <w:rPr>
          <w:rFonts w:ascii="Calibri" w:hAnsi="Calibri"/>
          <w:sz w:val="24"/>
          <w:szCs w:val="24"/>
        </w:rPr>
        <w:t xml:space="preserve">przydzielonego </w:t>
      </w:r>
      <w:r w:rsidR="00B7358D">
        <w:rPr>
          <w:rFonts w:ascii="Calibri" w:hAnsi="Calibri"/>
          <w:sz w:val="24"/>
          <w:szCs w:val="24"/>
        </w:rPr>
        <w:t>numeru</w:t>
      </w:r>
      <w:r w:rsidR="0019417C">
        <w:rPr>
          <w:rFonts w:ascii="Calibri" w:hAnsi="Calibri"/>
          <w:sz w:val="24"/>
          <w:szCs w:val="24"/>
        </w:rPr>
        <w:t>,</w:t>
      </w:r>
      <w:r w:rsidR="00B7358D">
        <w:rPr>
          <w:rFonts w:ascii="Calibri" w:hAnsi="Calibri"/>
          <w:sz w:val="24"/>
          <w:szCs w:val="24"/>
        </w:rPr>
        <w:t xml:space="preserve"> </w:t>
      </w:r>
      <w:r w:rsidR="00350945">
        <w:rPr>
          <w:rFonts w:ascii="Calibri" w:hAnsi="Calibri"/>
          <w:sz w:val="24"/>
          <w:szCs w:val="24"/>
        </w:rPr>
        <w:t>w przypadku zrealizowania przeniesienia numeru</w:t>
      </w:r>
      <w:r w:rsidRPr="00082560">
        <w:rPr>
          <w:rFonts w:ascii="Calibri" w:hAnsi="Calibri"/>
          <w:sz w:val="24"/>
          <w:szCs w:val="24"/>
        </w:rPr>
        <w:t>.</w:t>
      </w:r>
    </w:p>
    <w:p w:rsidR="00B83960" w:rsidRPr="004B3C19" w:rsidRDefault="00B83960" w:rsidP="00B83960">
      <w:pPr>
        <w:pStyle w:val="Lista2"/>
        <w:numPr>
          <w:ilvl w:val="0"/>
          <w:numId w:val="4"/>
        </w:numPr>
        <w:spacing w:line="276" w:lineRule="auto"/>
        <w:jc w:val="both"/>
        <w:rPr>
          <w:rFonts w:ascii="Calibri" w:hAnsi="Calibri" w:cs="Arial"/>
          <w:sz w:val="24"/>
          <w:szCs w:val="24"/>
        </w:rPr>
      </w:pPr>
      <w:r w:rsidRPr="004B3C19">
        <w:rPr>
          <w:rFonts w:ascii="Calibri" w:hAnsi="Calibri" w:cs="Arial"/>
          <w:b/>
          <w:sz w:val="24"/>
          <w:szCs w:val="24"/>
        </w:rPr>
        <w:t>Centralna Baza Numerów Przeniesionych</w:t>
      </w:r>
      <w:r w:rsidRPr="004B3C19">
        <w:rPr>
          <w:rFonts w:ascii="Calibri" w:hAnsi="Calibri" w:cs="Arial"/>
          <w:sz w:val="24"/>
          <w:szCs w:val="24"/>
        </w:rPr>
        <w:t xml:space="preserve"> </w:t>
      </w:r>
      <w:r>
        <w:rPr>
          <w:rFonts w:ascii="Calibri" w:hAnsi="Calibri" w:cs="Arial"/>
          <w:sz w:val="24"/>
          <w:szCs w:val="24"/>
        </w:rPr>
        <w:t xml:space="preserve">– </w:t>
      </w:r>
      <w:r w:rsidR="00E24172">
        <w:rPr>
          <w:rFonts w:ascii="Calibri" w:hAnsi="Calibri" w:cs="Arial"/>
          <w:sz w:val="24"/>
          <w:szCs w:val="24"/>
        </w:rPr>
        <w:t xml:space="preserve">referencyjna </w:t>
      </w:r>
      <w:r>
        <w:rPr>
          <w:rFonts w:ascii="Calibri" w:hAnsi="Calibri" w:cs="Arial"/>
          <w:sz w:val="24"/>
          <w:szCs w:val="24"/>
        </w:rPr>
        <w:t>baza danych Systemu PLI CBD</w:t>
      </w:r>
      <w:r w:rsidR="00B0054F">
        <w:rPr>
          <w:rFonts w:ascii="Calibri" w:hAnsi="Calibri" w:cs="Arial"/>
          <w:sz w:val="24"/>
          <w:szCs w:val="24"/>
        </w:rPr>
        <w:t>,</w:t>
      </w:r>
      <w:r>
        <w:rPr>
          <w:rFonts w:ascii="Calibri" w:hAnsi="Calibri" w:cs="Arial"/>
          <w:sz w:val="24"/>
          <w:szCs w:val="24"/>
        </w:rPr>
        <w:t xml:space="preserve"> zawierająca informacje o </w:t>
      </w:r>
      <w:r w:rsidR="00E24172">
        <w:rPr>
          <w:rFonts w:ascii="Calibri" w:hAnsi="Calibri" w:cs="Arial"/>
          <w:sz w:val="24"/>
          <w:szCs w:val="24"/>
        </w:rPr>
        <w:t>przynależności Numeru do Dostawcy Usług, Operatorze Usług Towarzyszących, Operatorze Macierzystym i Operatorze Sieci dla sieci ruchomych i sieci stacjonarnych</w:t>
      </w:r>
      <w:r>
        <w:rPr>
          <w:rFonts w:ascii="Calibri" w:hAnsi="Calibri" w:cs="Arial"/>
          <w:sz w:val="24"/>
          <w:szCs w:val="24"/>
        </w:rPr>
        <w:t xml:space="preserve">. </w:t>
      </w:r>
    </w:p>
    <w:p w:rsidR="00E8707B" w:rsidRDefault="000D29A3" w:rsidP="00082560">
      <w:pPr>
        <w:pStyle w:val="Lista2"/>
        <w:numPr>
          <w:ilvl w:val="0"/>
          <w:numId w:val="4"/>
        </w:numPr>
        <w:spacing w:line="276" w:lineRule="auto"/>
        <w:jc w:val="both"/>
        <w:rPr>
          <w:rFonts w:ascii="Calibri" w:hAnsi="Calibri" w:cs="Arial"/>
          <w:sz w:val="24"/>
          <w:szCs w:val="24"/>
        </w:rPr>
      </w:pPr>
      <w:r>
        <w:rPr>
          <w:rFonts w:ascii="Calibri" w:hAnsi="Calibri" w:cs="Arial"/>
          <w:b/>
          <w:sz w:val="24"/>
          <w:szCs w:val="24"/>
        </w:rPr>
        <w:t xml:space="preserve">Data </w:t>
      </w:r>
      <w:r w:rsidR="00777263">
        <w:rPr>
          <w:rFonts w:ascii="Calibri" w:hAnsi="Calibri" w:cs="Arial"/>
          <w:b/>
          <w:sz w:val="24"/>
          <w:szCs w:val="24"/>
        </w:rPr>
        <w:t>P</w:t>
      </w:r>
      <w:r>
        <w:rPr>
          <w:rFonts w:ascii="Calibri" w:hAnsi="Calibri" w:cs="Arial"/>
          <w:b/>
          <w:sz w:val="24"/>
          <w:szCs w:val="24"/>
        </w:rPr>
        <w:t xml:space="preserve">rzeniesienia </w:t>
      </w:r>
      <w:r w:rsidR="00777263">
        <w:rPr>
          <w:rFonts w:ascii="Calibri" w:hAnsi="Calibri" w:cs="Arial"/>
          <w:b/>
          <w:sz w:val="24"/>
          <w:szCs w:val="24"/>
        </w:rPr>
        <w:t>N</w:t>
      </w:r>
      <w:r>
        <w:rPr>
          <w:rFonts w:ascii="Calibri" w:hAnsi="Calibri" w:cs="Arial"/>
          <w:b/>
          <w:sz w:val="24"/>
          <w:szCs w:val="24"/>
        </w:rPr>
        <w:t>umeru</w:t>
      </w:r>
      <w:r>
        <w:rPr>
          <w:rFonts w:ascii="Calibri" w:hAnsi="Calibri" w:cs="Arial"/>
          <w:sz w:val="24"/>
          <w:szCs w:val="24"/>
        </w:rPr>
        <w:t xml:space="preserve"> – </w:t>
      </w:r>
      <w:r w:rsidRPr="000D29A3">
        <w:rPr>
          <w:rFonts w:ascii="Calibri" w:hAnsi="Calibri" w:cs="Arial"/>
          <w:sz w:val="24"/>
          <w:szCs w:val="24"/>
        </w:rPr>
        <w:t>jest to dzień</w:t>
      </w:r>
      <w:r w:rsidR="00777263">
        <w:rPr>
          <w:rFonts w:ascii="Calibri" w:hAnsi="Calibri" w:cs="Arial"/>
          <w:sz w:val="24"/>
          <w:szCs w:val="24"/>
        </w:rPr>
        <w:t>,</w:t>
      </w:r>
      <w:r w:rsidRPr="000D29A3">
        <w:rPr>
          <w:rFonts w:ascii="Calibri" w:hAnsi="Calibri" w:cs="Arial"/>
          <w:sz w:val="24"/>
          <w:szCs w:val="24"/>
        </w:rPr>
        <w:t xml:space="preserve"> </w:t>
      </w:r>
      <w:r w:rsidR="007E0A94">
        <w:rPr>
          <w:rFonts w:ascii="Calibri" w:hAnsi="Calibri" w:cs="Arial"/>
          <w:sz w:val="24"/>
          <w:szCs w:val="24"/>
        </w:rPr>
        <w:t>od którego</w:t>
      </w:r>
      <w:r w:rsidRPr="000D29A3">
        <w:rPr>
          <w:rFonts w:ascii="Calibri" w:hAnsi="Calibri" w:cs="Arial"/>
          <w:sz w:val="24"/>
          <w:szCs w:val="24"/>
        </w:rPr>
        <w:t xml:space="preserve"> </w:t>
      </w:r>
      <w:r w:rsidR="007E0A94">
        <w:rPr>
          <w:rFonts w:ascii="Calibri" w:hAnsi="Calibri" w:cs="Arial"/>
          <w:sz w:val="24"/>
          <w:szCs w:val="24"/>
        </w:rPr>
        <w:t xml:space="preserve">Dawca </w:t>
      </w:r>
      <w:r w:rsidR="00E8707B">
        <w:rPr>
          <w:rFonts w:ascii="Calibri" w:hAnsi="Calibri" w:cs="Arial"/>
          <w:sz w:val="24"/>
          <w:szCs w:val="24"/>
        </w:rPr>
        <w:t xml:space="preserve">przekazał </w:t>
      </w:r>
      <w:r w:rsidR="007E0A94">
        <w:rPr>
          <w:rFonts w:ascii="Calibri" w:hAnsi="Calibri" w:cs="Arial"/>
          <w:sz w:val="24"/>
          <w:szCs w:val="24"/>
        </w:rPr>
        <w:t>do dyspozycji Biorcy Numer Przydzielony</w:t>
      </w:r>
      <w:r w:rsidR="00E8707B">
        <w:rPr>
          <w:rFonts w:ascii="Calibri" w:hAnsi="Calibri" w:cs="Arial"/>
          <w:sz w:val="24"/>
          <w:szCs w:val="24"/>
        </w:rPr>
        <w:t xml:space="preserve"> a Biorca rozpoczął świadczenie usług na rzecz Abonenta</w:t>
      </w:r>
      <w:r w:rsidR="00B0054F">
        <w:rPr>
          <w:rFonts w:ascii="Calibri" w:hAnsi="Calibri" w:cs="Arial"/>
          <w:sz w:val="24"/>
          <w:szCs w:val="24"/>
        </w:rPr>
        <w:t>.</w:t>
      </w:r>
    </w:p>
    <w:p w:rsidR="000D29A3" w:rsidRPr="001628FF" w:rsidRDefault="00E8707B" w:rsidP="001628FF">
      <w:pPr>
        <w:pStyle w:val="Lista2"/>
        <w:numPr>
          <w:ilvl w:val="0"/>
          <w:numId w:val="4"/>
        </w:numPr>
        <w:spacing w:line="276" w:lineRule="auto"/>
        <w:jc w:val="both"/>
        <w:rPr>
          <w:rFonts w:ascii="Calibri" w:hAnsi="Calibri"/>
          <w:sz w:val="24"/>
          <w:szCs w:val="24"/>
        </w:rPr>
      </w:pPr>
      <w:r>
        <w:rPr>
          <w:rFonts w:ascii="Calibri" w:hAnsi="Calibri" w:cs="Arial"/>
          <w:b/>
          <w:sz w:val="24"/>
          <w:szCs w:val="24"/>
        </w:rPr>
        <w:t>Data Umowna Przeniesienia Numeru</w:t>
      </w:r>
      <w:r>
        <w:rPr>
          <w:rFonts w:ascii="Calibri" w:hAnsi="Calibri" w:cs="Arial"/>
          <w:sz w:val="24"/>
          <w:szCs w:val="24"/>
        </w:rPr>
        <w:t xml:space="preserve"> – </w:t>
      </w:r>
      <w:r w:rsidRPr="000D29A3">
        <w:rPr>
          <w:rFonts w:ascii="Calibri" w:hAnsi="Calibri" w:cs="Arial"/>
          <w:sz w:val="24"/>
          <w:szCs w:val="24"/>
        </w:rPr>
        <w:t>jest to dzień</w:t>
      </w:r>
      <w:r>
        <w:rPr>
          <w:rFonts w:ascii="Calibri" w:hAnsi="Calibri" w:cs="Arial"/>
          <w:sz w:val="24"/>
          <w:szCs w:val="24"/>
        </w:rPr>
        <w:t xml:space="preserve"> określony w </w:t>
      </w:r>
      <w:r w:rsidR="001628FF">
        <w:rPr>
          <w:rFonts w:ascii="Calibri" w:hAnsi="Calibri"/>
          <w:sz w:val="24"/>
          <w:szCs w:val="24"/>
        </w:rPr>
        <w:t xml:space="preserve">umowie o świadczenie usług telekomunikacyjnych zawartej przez Biorcę z Abonentem </w:t>
      </w:r>
      <w:r w:rsidRPr="001628FF">
        <w:rPr>
          <w:rFonts w:ascii="Calibri" w:hAnsi="Calibri" w:cs="Arial"/>
          <w:sz w:val="24"/>
          <w:szCs w:val="24"/>
        </w:rPr>
        <w:t>jako wyznaczony termin rozpoczęcia świadczenia usług.</w:t>
      </w:r>
    </w:p>
    <w:p w:rsidR="00082560" w:rsidRPr="00082560" w:rsidRDefault="00082560" w:rsidP="00082560">
      <w:pPr>
        <w:pStyle w:val="Lista2"/>
        <w:numPr>
          <w:ilvl w:val="0"/>
          <w:numId w:val="4"/>
        </w:numPr>
        <w:spacing w:line="276" w:lineRule="auto"/>
        <w:jc w:val="both"/>
        <w:rPr>
          <w:rFonts w:ascii="Calibri" w:hAnsi="Calibri" w:cs="Arial"/>
          <w:sz w:val="24"/>
          <w:szCs w:val="24"/>
        </w:rPr>
      </w:pPr>
      <w:r w:rsidRPr="00082560">
        <w:rPr>
          <w:rFonts w:ascii="Calibri" w:hAnsi="Calibri"/>
          <w:b/>
          <w:sz w:val="24"/>
          <w:szCs w:val="24"/>
        </w:rPr>
        <w:t xml:space="preserve">Dawca </w:t>
      </w:r>
      <w:r w:rsidRPr="00082560">
        <w:rPr>
          <w:rFonts w:ascii="Calibri" w:hAnsi="Calibri"/>
          <w:sz w:val="24"/>
          <w:szCs w:val="24"/>
        </w:rPr>
        <w:t>lub</w:t>
      </w:r>
      <w:r w:rsidRPr="00082560">
        <w:rPr>
          <w:rFonts w:ascii="Calibri" w:hAnsi="Calibri"/>
          <w:b/>
          <w:sz w:val="24"/>
          <w:szCs w:val="24"/>
        </w:rPr>
        <w:t xml:space="preserve"> dotychczasowy dostawca usług</w:t>
      </w:r>
      <w:r w:rsidRPr="00082560">
        <w:rPr>
          <w:rFonts w:ascii="Calibri" w:hAnsi="Calibri"/>
          <w:sz w:val="24"/>
          <w:szCs w:val="24"/>
        </w:rPr>
        <w:t xml:space="preserve"> - </w:t>
      </w:r>
      <w:r w:rsidR="001508B6" w:rsidRPr="001508B6">
        <w:rPr>
          <w:rFonts w:ascii="Calibri" w:hAnsi="Calibri"/>
          <w:sz w:val="24"/>
          <w:szCs w:val="24"/>
        </w:rPr>
        <w:t xml:space="preserve">dotychczasowy dostawca usług świadczący usługi telekomunikacyjne na rzecz Abonenta </w:t>
      </w:r>
      <w:r w:rsidR="00B7358D">
        <w:rPr>
          <w:rFonts w:ascii="Calibri" w:hAnsi="Calibri"/>
          <w:sz w:val="24"/>
          <w:szCs w:val="24"/>
        </w:rPr>
        <w:t xml:space="preserve">na podstawie umowy o świadczenie </w:t>
      </w:r>
      <w:r w:rsidR="00B0054F">
        <w:rPr>
          <w:rFonts w:ascii="Calibri" w:hAnsi="Calibri"/>
          <w:sz w:val="24"/>
          <w:szCs w:val="24"/>
        </w:rPr>
        <w:t xml:space="preserve">publicznie dostępnych </w:t>
      </w:r>
      <w:r w:rsidR="00B7358D">
        <w:rPr>
          <w:rFonts w:ascii="Calibri" w:hAnsi="Calibri"/>
          <w:sz w:val="24"/>
          <w:szCs w:val="24"/>
        </w:rPr>
        <w:t xml:space="preserve">usług telekomunikacyjnych </w:t>
      </w:r>
      <w:r w:rsidR="001508B6" w:rsidRPr="001508B6">
        <w:rPr>
          <w:rFonts w:ascii="Calibri" w:hAnsi="Calibri"/>
          <w:sz w:val="24"/>
          <w:szCs w:val="24"/>
        </w:rPr>
        <w:t xml:space="preserve">przed zrealizowaniem przeniesienia </w:t>
      </w:r>
      <w:r w:rsidR="00B0054F">
        <w:rPr>
          <w:rFonts w:ascii="Calibri" w:hAnsi="Calibri"/>
          <w:sz w:val="24"/>
          <w:szCs w:val="24"/>
        </w:rPr>
        <w:t xml:space="preserve">przydzielonego </w:t>
      </w:r>
      <w:r w:rsidR="001508B6" w:rsidRPr="001508B6">
        <w:rPr>
          <w:rFonts w:ascii="Calibri" w:hAnsi="Calibri"/>
          <w:sz w:val="24"/>
          <w:szCs w:val="24"/>
        </w:rPr>
        <w:t>numeru</w:t>
      </w:r>
      <w:r w:rsidR="00CC6530">
        <w:rPr>
          <w:rFonts w:ascii="Calibri" w:hAnsi="Calibri"/>
          <w:sz w:val="24"/>
          <w:szCs w:val="24"/>
        </w:rPr>
        <w:t>.</w:t>
      </w:r>
    </w:p>
    <w:p w:rsidR="00363A83" w:rsidRPr="009762FC" w:rsidRDefault="00363A83" w:rsidP="00F02BFE">
      <w:pPr>
        <w:pStyle w:val="Lista2"/>
        <w:numPr>
          <w:ilvl w:val="0"/>
          <w:numId w:val="4"/>
        </w:numPr>
        <w:spacing w:line="276" w:lineRule="auto"/>
        <w:jc w:val="both"/>
        <w:rPr>
          <w:rFonts w:ascii="Calibri" w:hAnsi="Calibri"/>
          <w:sz w:val="24"/>
          <w:szCs w:val="24"/>
        </w:rPr>
      </w:pPr>
      <w:r>
        <w:rPr>
          <w:rFonts w:ascii="Calibri" w:hAnsi="Calibri"/>
          <w:b/>
          <w:sz w:val="24"/>
          <w:szCs w:val="24"/>
        </w:rPr>
        <w:t xml:space="preserve">Dostawca usług </w:t>
      </w:r>
      <w:r>
        <w:rPr>
          <w:rFonts w:ascii="Calibri" w:hAnsi="Calibri"/>
          <w:sz w:val="24"/>
          <w:szCs w:val="24"/>
        </w:rPr>
        <w:t xml:space="preserve">lub </w:t>
      </w:r>
      <w:r>
        <w:rPr>
          <w:rFonts w:ascii="Calibri" w:hAnsi="Calibri"/>
          <w:b/>
          <w:sz w:val="24"/>
          <w:szCs w:val="24"/>
        </w:rPr>
        <w:t>Dostaw</w:t>
      </w:r>
      <w:r w:rsidR="00B0054F">
        <w:rPr>
          <w:rFonts w:ascii="Calibri" w:hAnsi="Calibri"/>
          <w:b/>
          <w:sz w:val="24"/>
          <w:szCs w:val="24"/>
        </w:rPr>
        <w:t>c</w:t>
      </w:r>
      <w:r>
        <w:rPr>
          <w:rFonts w:ascii="Calibri" w:hAnsi="Calibri"/>
          <w:b/>
          <w:sz w:val="24"/>
          <w:szCs w:val="24"/>
        </w:rPr>
        <w:t>a</w:t>
      </w:r>
      <w:r>
        <w:rPr>
          <w:rFonts w:ascii="Calibri" w:hAnsi="Calibri"/>
          <w:sz w:val="24"/>
          <w:szCs w:val="24"/>
        </w:rPr>
        <w:t xml:space="preserve"> – </w:t>
      </w:r>
      <w:r w:rsidRPr="00363A83">
        <w:rPr>
          <w:rFonts w:ascii="Calibri" w:hAnsi="Calibri"/>
          <w:sz w:val="24"/>
          <w:szCs w:val="24"/>
        </w:rPr>
        <w:t xml:space="preserve">przedsiębiorca telekomunikacyjny, który jest stroną umowy o świadczenie </w:t>
      </w:r>
      <w:r w:rsidR="00B0054F">
        <w:rPr>
          <w:rFonts w:ascii="Calibri" w:hAnsi="Calibri"/>
          <w:sz w:val="24"/>
          <w:szCs w:val="24"/>
        </w:rPr>
        <w:t xml:space="preserve">publicznie dostępnych </w:t>
      </w:r>
      <w:r w:rsidRPr="00363A83">
        <w:rPr>
          <w:rFonts w:ascii="Calibri" w:hAnsi="Calibri"/>
          <w:sz w:val="24"/>
          <w:szCs w:val="24"/>
        </w:rPr>
        <w:t>usług telekomunikacyjnych z Abonentem, w której Abonentowi przydzielony jest numer z Planu Numeracji Krajowej (PNK) dla publicznych sieci telekomunikacyjnych.</w:t>
      </w:r>
    </w:p>
    <w:p w:rsidR="004567BF" w:rsidRPr="004F057F" w:rsidRDefault="004567BF" w:rsidP="00F02BFE">
      <w:pPr>
        <w:pStyle w:val="Lista2"/>
        <w:numPr>
          <w:ilvl w:val="0"/>
          <w:numId w:val="4"/>
        </w:numPr>
        <w:spacing w:line="276" w:lineRule="auto"/>
        <w:jc w:val="both"/>
        <w:rPr>
          <w:rFonts w:ascii="Calibri" w:hAnsi="Calibri"/>
          <w:sz w:val="24"/>
          <w:szCs w:val="24"/>
        </w:rPr>
      </w:pPr>
      <w:r w:rsidRPr="004F057F">
        <w:rPr>
          <w:rFonts w:ascii="Calibri" w:hAnsi="Calibri"/>
          <w:b/>
          <w:sz w:val="24"/>
          <w:szCs w:val="24"/>
        </w:rPr>
        <w:t>Dostęp Pełny</w:t>
      </w:r>
      <w:r w:rsidRPr="004F057F">
        <w:rPr>
          <w:rFonts w:ascii="Calibri" w:hAnsi="Calibri"/>
          <w:sz w:val="24"/>
          <w:szCs w:val="24"/>
        </w:rPr>
        <w:t xml:space="preserve"> (ang. Full </w:t>
      </w:r>
      <w:proofErr w:type="spellStart"/>
      <w:r w:rsidRPr="004F057F">
        <w:rPr>
          <w:rFonts w:ascii="Calibri" w:hAnsi="Calibri"/>
          <w:sz w:val="24"/>
          <w:szCs w:val="24"/>
        </w:rPr>
        <w:t>Unbundling</w:t>
      </w:r>
      <w:proofErr w:type="spellEnd"/>
      <w:r w:rsidRPr="004F057F">
        <w:rPr>
          <w:rFonts w:ascii="Calibri" w:hAnsi="Calibri"/>
          <w:sz w:val="24"/>
          <w:szCs w:val="24"/>
        </w:rPr>
        <w:t xml:space="preserve">) – możliwość korzystania z pełnego pasma częstotliwości Łącza Abonenckiego lub Lokalnej </w:t>
      </w:r>
      <w:proofErr w:type="spellStart"/>
      <w:r w:rsidRPr="004F057F">
        <w:rPr>
          <w:rFonts w:ascii="Calibri" w:hAnsi="Calibri"/>
          <w:sz w:val="24"/>
          <w:szCs w:val="24"/>
        </w:rPr>
        <w:t>Podpętli</w:t>
      </w:r>
      <w:proofErr w:type="spellEnd"/>
      <w:r w:rsidRPr="004F057F">
        <w:rPr>
          <w:rFonts w:ascii="Calibri" w:hAnsi="Calibri"/>
          <w:sz w:val="24"/>
          <w:szCs w:val="24"/>
        </w:rPr>
        <w:t xml:space="preserve"> Abonenckiej.</w:t>
      </w:r>
    </w:p>
    <w:p w:rsidR="004567BF" w:rsidRPr="004F057F" w:rsidRDefault="004567BF" w:rsidP="00F02BFE">
      <w:pPr>
        <w:pStyle w:val="Lista2"/>
        <w:numPr>
          <w:ilvl w:val="0"/>
          <w:numId w:val="4"/>
        </w:numPr>
        <w:spacing w:line="276" w:lineRule="auto"/>
        <w:jc w:val="both"/>
        <w:rPr>
          <w:rFonts w:ascii="Calibri" w:hAnsi="Calibri"/>
          <w:sz w:val="24"/>
          <w:szCs w:val="24"/>
        </w:rPr>
      </w:pPr>
      <w:r w:rsidRPr="004F057F">
        <w:rPr>
          <w:rFonts w:ascii="Calibri" w:hAnsi="Calibri"/>
          <w:b/>
          <w:sz w:val="24"/>
          <w:szCs w:val="24"/>
        </w:rPr>
        <w:t>Dostęp Współdzielony</w:t>
      </w:r>
      <w:r w:rsidRPr="004F057F">
        <w:rPr>
          <w:rFonts w:ascii="Calibri" w:hAnsi="Calibri"/>
          <w:sz w:val="24"/>
          <w:szCs w:val="24"/>
        </w:rPr>
        <w:t xml:space="preserve"> (ang. </w:t>
      </w:r>
      <w:proofErr w:type="spellStart"/>
      <w:r w:rsidRPr="004F057F">
        <w:rPr>
          <w:rFonts w:ascii="Calibri" w:hAnsi="Calibri"/>
          <w:sz w:val="24"/>
          <w:szCs w:val="24"/>
        </w:rPr>
        <w:t>Shared</w:t>
      </w:r>
      <w:proofErr w:type="spellEnd"/>
      <w:r w:rsidRPr="004F057F">
        <w:rPr>
          <w:rFonts w:ascii="Calibri" w:hAnsi="Calibri"/>
          <w:sz w:val="24"/>
          <w:szCs w:val="24"/>
        </w:rPr>
        <w:t xml:space="preserve"> </w:t>
      </w:r>
      <w:proofErr w:type="spellStart"/>
      <w:r w:rsidRPr="004F057F">
        <w:rPr>
          <w:rFonts w:ascii="Calibri" w:hAnsi="Calibri"/>
          <w:sz w:val="24"/>
          <w:szCs w:val="24"/>
        </w:rPr>
        <w:t>Unbundling</w:t>
      </w:r>
      <w:proofErr w:type="spellEnd"/>
      <w:r w:rsidRPr="004F057F">
        <w:rPr>
          <w:rFonts w:ascii="Calibri" w:hAnsi="Calibri"/>
          <w:sz w:val="24"/>
          <w:szCs w:val="24"/>
        </w:rPr>
        <w:t>) – możliwość korzystania z </w:t>
      </w:r>
      <w:proofErr w:type="spellStart"/>
      <w:r w:rsidRPr="004F057F">
        <w:rPr>
          <w:rFonts w:ascii="Calibri" w:hAnsi="Calibri"/>
          <w:sz w:val="24"/>
          <w:szCs w:val="24"/>
        </w:rPr>
        <w:t>niegłosowego</w:t>
      </w:r>
      <w:proofErr w:type="spellEnd"/>
      <w:r w:rsidRPr="004F057F">
        <w:rPr>
          <w:rFonts w:ascii="Calibri" w:hAnsi="Calibri"/>
          <w:sz w:val="24"/>
          <w:szCs w:val="24"/>
        </w:rPr>
        <w:t xml:space="preserve"> pasma częstotliwości Łącza Abonenckiego lub Lokalnej </w:t>
      </w:r>
      <w:proofErr w:type="spellStart"/>
      <w:r w:rsidRPr="004F057F">
        <w:rPr>
          <w:rFonts w:ascii="Calibri" w:hAnsi="Calibri"/>
          <w:sz w:val="24"/>
          <w:szCs w:val="24"/>
        </w:rPr>
        <w:t>Podpętli</w:t>
      </w:r>
      <w:proofErr w:type="spellEnd"/>
      <w:r w:rsidRPr="004F057F">
        <w:rPr>
          <w:rFonts w:ascii="Calibri" w:hAnsi="Calibri"/>
          <w:sz w:val="24"/>
          <w:szCs w:val="24"/>
        </w:rPr>
        <w:t xml:space="preserve"> Abonenckiej przy jednoczesnym zachowaniu możliwości korzystania z Łącza Abonenckiego lub Lokalnej </w:t>
      </w:r>
      <w:proofErr w:type="spellStart"/>
      <w:r w:rsidRPr="004F057F">
        <w:rPr>
          <w:rFonts w:ascii="Calibri" w:hAnsi="Calibri"/>
          <w:sz w:val="24"/>
          <w:szCs w:val="24"/>
        </w:rPr>
        <w:t>Podpętli</w:t>
      </w:r>
      <w:proofErr w:type="spellEnd"/>
      <w:r w:rsidRPr="004F057F">
        <w:rPr>
          <w:rFonts w:ascii="Calibri" w:hAnsi="Calibri"/>
          <w:sz w:val="24"/>
          <w:szCs w:val="24"/>
        </w:rPr>
        <w:t xml:space="preserve"> Abonenckiej przez innego PT lub </w:t>
      </w:r>
      <w:r w:rsidR="007E0A94">
        <w:rPr>
          <w:rFonts w:ascii="Calibri" w:hAnsi="Calibri"/>
          <w:sz w:val="24"/>
          <w:szCs w:val="24"/>
        </w:rPr>
        <w:t>Operatora Infrastrukturalnego</w:t>
      </w:r>
      <w:r w:rsidR="007E0A94" w:rsidRPr="004F057F">
        <w:rPr>
          <w:rFonts w:ascii="Calibri" w:hAnsi="Calibri"/>
          <w:sz w:val="24"/>
          <w:szCs w:val="24"/>
        </w:rPr>
        <w:t xml:space="preserve"> </w:t>
      </w:r>
      <w:r w:rsidRPr="004F057F">
        <w:rPr>
          <w:rFonts w:ascii="Calibri" w:hAnsi="Calibri"/>
          <w:sz w:val="24"/>
          <w:szCs w:val="24"/>
        </w:rPr>
        <w:t xml:space="preserve">do świadczenia usług telefonicznych wykorzystujących głosowe pasma częstotliwości Łącza Abonenckiego lub Lokalnej </w:t>
      </w:r>
      <w:proofErr w:type="spellStart"/>
      <w:r w:rsidRPr="004F057F">
        <w:rPr>
          <w:rFonts w:ascii="Calibri" w:hAnsi="Calibri"/>
          <w:sz w:val="24"/>
          <w:szCs w:val="24"/>
        </w:rPr>
        <w:t>Podpętli</w:t>
      </w:r>
      <w:proofErr w:type="spellEnd"/>
      <w:r w:rsidRPr="004F057F">
        <w:rPr>
          <w:rFonts w:ascii="Calibri" w:hAnsi="Calibri"/>
          <w:sz w:val="24"/>
          <w:szCs w:val="24"/>
        </w:rPr>
        <w:t xml:space="preserve"> Abonenckiej.</w:t>
      </w:r>
    </w:p>
    <w:p w:rsidR="001235D5" w:rsidRPr="001235D5" w:rsidRDefault="001235D5" w:rsidP="001235D5">
      <w:pPr>
        <w:pStyle w:val="Lista2"/>
        <w:numPr>
          <w:ilvl w:val="0"/>
          <w:numId w:val="4"/>
        </w:numPr>
        <w:spacing w:line="276" w:lineRule="auto"/>
        <w:jc w:val="both"/>
        <w:rPr>
          <w:rFonts w:ascii="Calibri" w:hAnsi="Calibri" w:cs="Arial"/>
          <w:sz w:val="24"/>
          <w:szCs w:val="24"/>
        </w:rPr>
      </w:pPr>
      <w:r w:rsidRPr="001235D5">
        <w:rPr>
          <w:rFonts w:ascii="Calibri" w:hAnsi="Calibri" w:cs="Arial"/>
          <w:b/>
          <w:bCs/>
          <w:sz w:val="24"/>
          <w:szCs w:val="24"/>
        </w:rPr>
        <w:t xml:space="preserve">Dzień Roboczy </w:t>
      </w:r>
      <w:r w:rsidRPr="001235D5">
        <w:rPr>
          <w:rFonts w:ascii="Calibri" w:hAnsi="Calibri" w:cs="Arial"/>
          <w:sz w:val="24"/>
          <w:szCs w:val="24"/>
        </w:rPr>
        <w:t xml:space="preserve">– wszystkie dni tygodnia za wyjątkiem sobót, niedziel oraz innych dni ustawowo wolnych od pracy na terenie Rzeczypospolitej Polskiej. </w:t>
      </w:r>
    </w:p>
    <w:p w:rsidR="004567BF" w:rsidRPr="001B6526" w:rsidRDefault="004567BF" w:rsidP="00E7327C">
      <w:pPr>
        <w:pStyle w:val="Lista2"/>
        <w:numPr>
          <w:ilvl w:val="0"/>
          <w:numId w:val="4"/>
        </w:numPr>
        <w:spacing w:line="276" w:lineRule="auto"/>
        <w:jc w:val="both"/>
        <w:rPr>
          <w:rFonts w:ascii="Calibri" w:hAnsi="Calibri"/>
          <w:sz w:val="24"/>
          <w:szCs w:val="24"/>
        </w:rPr>
      </w:pPr>
      <w:r w:rsidRPr="004F057F">
        <w:rPr>
          <w:rFonts w:ascii="Calibri" w:hAnsi="Calibri"/>
          <w:b/>
          <w:sz w:val="24"/>
          <w:szCs w:val="24"/>
        </w:rPr>
        <w:t>Elektroniczny Kanał Wymiany Danych (EKWD)</w:t>
      </w:r>
      <w:r w:rsidRPr="004F057F">
        <w:rPr>
          <w:rFonts w:ascii="Calibri" w:hAnsi="Calibri"/>
          <w:sz w:val="24"/>
          <w:szCs w:val="24"/>
        </w:rPr>
        <w:t xml:space="preserve"> – kanał komunikacji oparty na wymianie plików </w:t>
      </w:r>
      <w:proofErr w:type="spellStart"/>
      <w:r w:rsidRPr="004F057F">
        <w:rPr>
          <w:rFonts w:ascii="Calibri" w:hAnsi="Calibri"/>
          <w:sz w:val="24"/>
          <w:szCs w:val="24"/>
        </w:rPr>
        <w:t>xml</w:t>
      </w:r>
      <w:proofErr w:type="spellEnd"/>
      <w:r w:rsidRPr="004F057F">
        <w:rPr>
          <w:rFonts w:ascii="Calibri" w:hAnsi="Calibri"/>
          <w:sz w:val="24"/>
          <w:szCs w:val="24"/>
        </w:rPr>
        <w:t xml:space="preserve">, w którym wymiana komunikatów następuje poprzez Web Service lub e-mail. </w:t>
      </w:r>
    </w:p>
    <w:p w:rsidR="00D76350" w:rsidRPr="00D76350" w:rsidRDefault="00D76350" w:rsidP="00D76350">
      <w:pPr>
        <w:pStyle w:val="Akapitzlist"/>
        <w:numPr>
          <w:ilvl w:val="0"/>
          <w:numId w:val="4"/>
        </w:numPr>
        <w:spacing w:line="276" w:lineRule="auto"/>
        <w:rPr>
          <w:rFonts w:ascii="Calibri" w:hAnsi="Calibri" w:cs="Arial"/>
          <w:sz w:val="24"/>
          <w:szCs w:val="24"/>
          <w:lang w:eastAsia="pl-PL"/>
        </w:rPr>
      </w:pPr>
      <w:r w:rsidRPr="00D76350">
        <w:rPr>
          <w:rFonts w:ascii="Calibri" w:hAnsi="Calibri" w:cs="Arial"/>
          <w:b/>
          <w:sz w:val="24"/>
          <w:szCs w:val="24"/>
          <w:lang w:eastAsia="pl-PL"/>
        </w:rPr>
        <w:t>FNP</w:t>
      </w:r>
      <w:r w:rsidRPr="00D76350">
        <w:rPr>
          <w:rFonts w:ascii="Calibri" w:hAnsi="Calibri" w:cs="Arial"/>
          <w:sz w:val="24"/>
          <w:szCs w:val="24"/>
          <w:lang w:eastAsia="pl-PL"/>
        </w:rPr>
        <w:t xml:space="preserve"> – (ang. </w:t>
      </w:r>
      <w:proofErr w:type="spellStart"/>
      <w:r w:rsidRPr="00D76350">
        <w:rPr>
          <w:rFonts w:ascii="Calibri" w:hAnsi="Calibri" w:cs="Arial"/>
          <w:sz w:val="24"/>
          <w:szCs w:val="24"/>
          <w:lang w:eastAsia="pl-PL"/>
        </w:rPr>
        <w:t>Fixed</w:t>
      </w:r>
      <w:proofErr w:type="spellEnd"/>
      <w:r w:rsidRPr="00D76350">
        <w:rPr>
          <w:rFonts w:ascii="Calibri" w:hAnsi="Calibri" w:cs="Arial"/>
          <w:sz w:val="24"/>
          <w:szCs w:val="24"/>
          <w:lang w:eastAsia="pl-PL"/>
        </w:rPr>
        <w:t xml:space="preserve"> </w:t>
      </w:r>
      <w:proofErr w:type="spellStart"/>
      <w:r w:rsidRPr="00D76350">
        <w:rPr>
          <w:rFonts w:ascii="Calibri" w:hAnsi="Calibri" w:cs="Arial"/>
          <w:sz w:val="24"/>
          <w:szCs w:val="24"/>
          <w:lang w:eastAsia="pl-PL"/>
        </w:rPr>
        <w:t>Number</w:t>
      </w:r>
      <w:proofErr w:type="spellEnd"/>
      <w:r w:rsidRPr="00D76350">
        <w:rPr>
          <w:rFonts w:ascii="Calibri" w:hAnsi="Calibri" w:cs="Arial"/>
          <w:sz w:val="24"/>
          <w:szCs w:val="24"/>
          <w:lang w:eastAsia="pl-PL"/>
        </w:rPr>
        <w:t xml:space="preserve"> </w:t>
      </w:r>
      <w:proofErr w:type="spellStart"/>
      <w:r w:rsidRPr="00D76350">
        <w:rPr>
          <w:rFonts w:ascii="Calibri" w:hAnsi="Calibri" w:cs="Arial"/>
          <w:sz w:val="24"/>
          <w:szCs w:val="24"/>
          <w:lang w:eastAsia="pl-PL"/>
        </w:rPr>
        <w:t>Portability</w:t>
      </w:r>
      <w:proofErr w:type="spellEnd"/>
      <w:r w:rsidRPr="00D76350">
        <w:rPr>
          <w:rFonts w:ascii="Calibri" w:hAnsi="Calibri" w:cs="Arial"/>
          <w:sz w:val="24"/>
          <w:szCs w:val="24"/>
          <w:lang w:eastAsia="pl-PL"/>
        </w:rPr>
        <w:t xml:space="preserve">) usługa NP realizowana przez Dostawców usług z wykorzystaniem numeracji geograficznej w sieciach stacjonarnych oraz numeracji dla świadczenia usług sieci IN, a także numeracji </w:t>
      </w:r>
      <w:proofErr w:type="spellStart"/>
      <w:r w:rsidRPr="00D76350">
        <w:rPr>
          <w:rFonts w:ascii="Calibri" w:hAnsi="Calibri" w:cs="Arial"/>
          <w:sz w:val="24"/>
          <w:szCs w:val="24"/>
          <w:lang w:eastAsia="pl-PL"/>
        </w:rPr>
        <w:t>niegeograficznej</w:t>
      </w:r>
      <w:proofErr w:type="spellEnd"/>
      <w:r w:rsidRPr="00D76350">
        <w:rPr>
          <w:rFonts w:ascii="Calibri" w:hAnsi="Calibri" w:cs="Arial"/>
          <w:sz w:val="24"/>
          <w:szCs w:val="24"/>
          <w:lang w:eastAsia="pl-PL"/>
        </w:rPr>
        <w:t xml:space="preserve"> (AB=39) - zgodnie z Planem Numeracji Krajowej.</w:t>
      </w:r>
    </w:p>
    <w:p w:rsidR="003E7295" w:rsidRPr="009762FC" w:rsidRDefault="003E7295" w:rsidP="00F02BFE">
      <w:pPr>
        <w:pStyle w:val="Lista2"/>
        <w:numPr>
          <w:ilvl w:val="0"/>
          <w:numId w:val="4"/>
        </w:numPr>
        <w:spacing w:line="276" w:lineRule="auto"/>
        <w:jc w:val="both"/>
        <w:rPr>
          <w:rFonts w:ascii="Calibri" w:hAnsi="Calibri"/>
          <w:sz w:val="24"/>
          <w:szCs w:val="24"/>
        </w:rPr>
      </w:pPr>
      <w:r w:rsidRPr="003318B2">
        <w:rPr>
          <w:rFonts w:ascii="Calibri" w:hAnsi="Calibri"/>
          <w:b/>
          <w:sz w:val="24"/>
          <w:szCs w:val="24"/>
        </w:rPr>
        <w:t>Godziny Robocze</w:t>
      </w:r>
      <w:r>
        <w:rPr>
          <w:rFonts w:ascii="Calibri" w:hAnsi="Calibri"/>
          <w:sz w:val="24"/>
          <w:szCs w:val="24"/>
        </w:rPr>
        <w:t xml:space="preserve"> </w:t>
      </w:r>
      <w:r w:rsidRPr="009762FC">
        <w:rPr>
          <w:rFonts w:ascii="Calibri" w:hAnsi="Calibri"/>
          <w:sz w:val="24"/>
          <w:szCs w:val="24"/>
        </w:rPr>
        <w:t>– godziny w przedziale od 9.00 do 19.00 od poniedziałku do piątku z wyłączeniem dni ustawowo wolnych od pracy</w:t>
      </w:r>
    </w:p>
    <w:p w:rsidR="004567BF" w:rsidRPr="004F057F" w:rsidRDefault="004567BF" w:rsidP="00F02BFE">
      <w:pPr>
        <w:pStyle w:val="Lista2"/>
        <w:numPr>
          <w:ilvl w:val="0"/>
          <w:numId w:val="4"/>
        </w:numPr>
        <w:spacing w:line="276" w:lineRule="auto"/>
        <w:jc w:val="both"/>
        <w:rPr>
          <w:rFonts w:ascii="Calibri" w:hAnsi="Calibri"/>
          <w:sz w:val="24"/>
          <w:szCs w:val="24"/>
        </w:rPr>
      </w:pPr>
      <w:r w:rsidRPr="004F057F">
        <w:rPr>
          <w:rFonts w:ascii="Calibri" w:hAnsi="Calibri"/>
          <w:b/>
          <w:sz w:val="24"/>
          <w:szCs w:val="24"/>
        </w:rPr>
        <w:t>ID Łącza</w:t>
      </w:r>
      <w:r w:rsidRPr="004F057F">
        <w:rPr>
          <w:rFonts w:ascii="Calibri" w:hAnsi="Calibri"/>
          <w:sz w:val="24"/>
          <w:szCs w:val="24"/>
        </w:rPr>
        <w:t xml:space="preserve"> – niezmienny numer dla danego Łącza Abonenckiego uzyskiwany w ramach</w:t>
      </w:r>
      <w:r w:rsidR="00092C28">
        <w:rPr>
          <w:rFonts w:ascii="Calibri" w:hAnsi="Calibri"/>
          <w:sz w:val="24"/>
          <w:szCs w:val="24"/>
        </w:rPr>
        <w:t xml:space="preserve"> </w:t>
      </w:r>
      <w:r w:rsidRPr="004F057F">
        <w:rPr>
          <w:rFonts w:ascii="Calibri" w:hAnsi="Calibri"/>
          <w:sz w:val="24"/>
          <w:szCs w:val="24"/>
        </w:rPr>
        <w:t xml:space="preserve"> IO</w:t>
      </w:r>
      <w:r w:rsidR="000C2CE1">
        <w:rPr>
          <w:rFonts w:ascii="Calibri" w:hAnsi="Calibri"/>
          <w:sz w:val="24"/>
          <w:szCs w:val="24"/>
        </w:rPr>
        <w:t>,</w:t>
      </w:r>
      <w:r w:rsidRPr="004F057F">
        <w:rPr>
          <w:rFonts w:ascii="Calibri" w:hAnsi="Calibri"/>
          <w:sz w:val="24"/>
          <w:szCs w:val="24"/>
        </w:rPr>
        <w:t xml:space="preserve"> spełniający następujące wymagania:</w:t>
      </w:r>
    </w:p>
    <w:p w:rsidR="00593FA7" w:rsidRPr="004F057F" w:rsidRDefault="00593FA7" w:rsidP="00F02BFE">
      <w:pPr>
        <w:pStyle w:val="tekstpodsta0"/>
        <w:numPr>
          <w:ilvl w:val="1"/>
          <w:numId w:val="4"/>
        </w:numPr>
        <w:spacing w:before="0" w:line="276" w:lineRule="auto"/>
        <w:rPr>
          <w:rFonts w:ascii="Calibri" w:hAnsi="Calibri"/>
          <w:sz w:val="24"/>
          <w:szCs w:val="24"/>
        </w:rPr>
      </w:pPr>
      <w:r w:rsidRPr="004F057F">
        <w:rPr>
          <w:rFonts w:ascii="Calibri" w:hAnsi="Calibri"/>
          <w:sz w:val="24"/>
          <w:szCs w:val="24"/>
        </w:rPr>
        <w:t>możliwość jednoznacznej identyfikacji Łącza Abonenckiego, także w przypadku, gdy w danej lokalizacji (pod danym adresem) znajduje się więcej niż jedno zakończenie sieci (zakończenie Łącza Abonenckiego),</w:t>
      </w:r>
    </w:p>
    <w:p w:rsidR="00593FA7" w:rsidRPr="004F057F" w:rsidRDefault="00593FA7" w:rsidP="00F02BFE">
      <w:pPr>
        <w:pStyle w:val="tekstpodsta0"/>
        <w:numPr>
          <w:ilvl w:val="1"/>
          <w:numId w:val="4"/>
        </w:numPr>
        <w:spacing w:before="0" w:line="276" w:lineRule="auto"/>
        <w:rPr>
          <w:rFonts w:ascii="Calibri" w:hAnsi="Calibri"/>
          <w:sz w:val="24"/>
          <w:szCs w:val="24"/>
        </w:rPr>
      </w:pPr>
      <w:r w:rsidRPr="004F057F">
        <w:rPr>
          <w:rFonts w:ascii="Calibri" w:hAnsi="Calibri"/>
          <w:sz w:val="24"/>
          <w:szCs w:val="24"/>
        </w:rPr>
        <w:t>możliwość jednoznacznej identyfikacji Łącza Abonenckiego bez konieczności podawania adresu zakończenia łącza (Łącza Abonenckie Aktywne) lub innych danych, które powodują wzrost liczby zamówień składanych przez PT, odrzuconych z przyczyn formalnych,</w:t>
      </w:r>
    </w:p>
    <w:p w:rsidR="00593FA7" w:rsidRPr="004F057F" w:rsidRDefault="00593FA7" w:rsidP="00F02BFE">
      <w:pPr>
        <w:pStyle w:val="tekstpodsta0"/>
        <w:numPr>
          <w:ilvl w:val="1"/>
          <w:numId w:val="4"/>
        </w:numPr>
        <w:spacing w:before="0" w:line="276" w:lineRule="auto"/>
        <w:rPr>
          <w:rFonts w:ascii="Calibri" w:hAnsi="Calibri"/>
          <w:sz w:val="24"/>
          <w:szCs w:val="24"/>
        </w:rPr>
      </w:pPr>
      <w:r w:rsidRPr="004F057F">
        <w:rPr>
          <w:rFonts w:ascii="Calibri" w:hAnsi="Calibri"/>
          <w:sz w:val="24"/>
          <w:szCs w:val="24"/>
        </w:rPr>
        <w:t>możliwość uzyskania danych dotyczących konkretnego Łącza Abonenckiego, w tym parametrów fizycznych łącza i jego przebiegu,</w:t>
      </w:r>
    </w:p>
    <w:p w:rsidR="00593FA7" w:rsidRPr="004F057F" w:rsidRDefault="00593FA7" w:rsidP="00F02BFE">
      <w:pPr>
        <w:pStyle w:val="tekstpodsta0"/>
        <w:numPr>
          <w:ilvl w:val="1"/>
          <w:numId w:val="4"/>
        </w:numPr>
        <w:spacing w:before="0" w:line="276" w:lineRule="auto"/>
        <w:rPr>
          <w:rFonts w:ascii="Calibri" w:hAnsi="Calibri"/>
          <w:sz w:val="24"/>
          <w:szCs w:val="24"/>
        </w:rPr>
      </w:pPr>
      <w:r w:rsidRPr="004F057F">
        <w:rPr>
          <w:rFonts w:ascii="Calibri" w:hAnsi="Calibri"/>
          <w:sz w:val="24"/>
          <w:szCs w:val="24"/>
        </w:rPr>
        <w:t>zwiększenie ochrony danych osobowych w procesie udostępnianie IO,</w:t>
      </w:r>
    </w:p>
    <w:p w:rsidR="00593FA7" w:rsidRPr="004F057F" w:rsidRDefault="00593FA7" w:rsidP="00F02BFE">
      <w:pPr>
        <w:pStyle w:val="tekstpodsta0"/>
        <w:numPr>
          <w:ilvl w:val="1"/>
          <w:numId w:val="4"/>
        </w:numPr>
        <w:spacing w:before="0" w:line="276" w:lineRule="auto"/>
        <w:rPr>
          <w:rFonts w:ascii="Calibri" w:hAnsi="Calibri"/>
          <w:sz w:val="24"/>
          <w:szCs w:val="24"/>
        </w:rPr>
      </w:pPr>
      <w:r w:rsidRPr="004F057F">
        <w:rPr>
          <w:rFonts w:ascii="Calibri" w:hAnsi="Calibri"/>
          <w:sz w:val="24"/>
          <w:szCs w:val="24"/>
        </w:rPr>
        <w:t>możliwość jednoznacznej identyfikacji Łącza Abonenckiego pomimo zmiany Abonenta lub PT świadczącego usługi na danym Łączu Abonenckim,</w:t>
      </w:r>
    </w:p>
    <w:p w:rsidR="00593FA7" w:rsidRPr="004F057F" w:rsidRDefault="00593FA7" w:rsidP="00F02BFE">
      <w:pPr>
        <w:pStyle w:val="tekstpodsta0"/>
        <w:numPr>
          <w:ilvl w:val="1"/>
          <w:numId w:val="4"/>
        </w:numPr>
        <w:spacing w:before="0" w:line="276" w:lineRule="auto"/>
        <w:rPr>
          <w:rFonts w:ascii="Calibri" w:hAnsi="Calibri"/>
          <w:sz w:val="24"/>
          <w:szCs w:val="24"/>
        </w:rPr>
      </w:pPr>
      <w:r w:rsidRPr="004F057F">
        <w:rPr>
          <w:rFonts w:ascii="Calibri" w:hAnsi="Calibri"/>
          <w:sz w:val="24"/>
          <w:szCs w:val="24"/>
        </w:rPr>
        <w:t xml:space="preserve">możliwość jednoznacznej identyfikacji usług świadczonych na danym Łączu Abonenckim, </w:t>
      </w:r>
    </w:p>
    <w:p w:rsidR="00593FA7" w:rsidRPr="004F057F" w:rsidRDefault="00593FA7" w:rsidP="00082560">
      <w:pPr>
        <w:pStyle w:val="tekstpodsta0"/>
        <w:numPr>
          <w:ilvl w:val="1"/>
          <w:numId w:val="4"/>
        </w:numPr>
        <w:spacing w:before="0" w:line="276" w:lineRule="auto"/>
        <w:rPr>
          <w:rFonts w:ascii="Calibri" w:hAnsi="Calibri"/>
          <w:sz w:val="24"/>
          <w:szCs w:val="24"/>
        </w:rPr>
      </w:pPr>
      <w:r w:rsidRPr="004F057F">
        <w:rPr>
          <w:rFonts w:ascii="Calibri" w:hAnsi="Calibri"/>
          <w:sz w:val="24"/>
          <w:szCs w:val="24"/>
        </w:rPr>
        <w:t>możliwość ustalenia adresu PDU, adresu PPD, parametrów kabla magistralnego, parametrów kabla rozdzielczego, adresu Zakończenia sieci oraz tłumienność Łącza Abonenckiego.</w:t>
      </w:r>
    </w:p>
    <w:p w:rsidR="002403D0" w:rsidRPr="001B6526" w:rsidRDefault="002403D0" w:rsidP="00F02BFE">
      <w:pPr>
        <w:pStyle w:val="Lista2"/>
        <w:numPr>
          <w:ilvl w:val="0"/>
          <w:numId w:val="4"/>
        </w:numPr>
        <w:spacing w:line="276" w:lineRule="auto"/>
        <w:jc w:val="both"/>
        <w:rPr>
          <w:rFonts w:ascii="Calibri" w:hAnsi="Calibri"/>
          <w:sz w:val="24"/>
          <w:szCs w:val="24"/>
        </w:rPr>
      </w:pPr>
      <w:r w:rsidRPr="009762FC">
        <w:rPr>
          <w:rFonts w:ascii="Calibri" w:hAnsi="Calibri"/>
          <w:b/>
          <w:sz w:val="24"/>
          <w:szCs w:val="24"/>
        </w:rPr>
        <w:t>Identyfikator Przedsiębiorcy Telekomunikacyjnego</w:t>
      </w:r>
      <w:r>
        <w:rPr>
          <w:rFonts w:ascii="Calibri" w:hAnsi="Calibri"/>
          <w:sz w:val="24"/>
          <w:szCs w:val="24"/>
        </w:rPr>
        <w:t xml:space="preserve"> – </w:t>
      </w:r>
      <w:r w:rsidR="00B83960">
        <w:rPr>
          <w:rFonts w:ascii="Calibri" w:hAnsi="Calibri"/>
          <w:sz w:val="24"/>
          <w:szCs w:val="24"/>
        </w:rPr>
        <w:t xml:space="preserve">5-cyfrowy identyfikator nadawany </w:t>
      </w:r>
      <w:r w:rsidR="00B83960" w:rsidRPr="001B6526">
        <w:rPr>
          <w:rFonts w:ascii="Calibri" w:hAnsi="Calibri"/>
          <w:sz w:val="24"/>
          <w:szCs w:val="24"/>
        </w:rPr>
        <w:t>PT</w:t>
      </w:r>
      <w:r w:rsidR="00B83960">
        <w:rPr>
          <w:rFonts w:ascii="Calibri" w:hAnsi="Calibri"/>
          <w:sz w:val="24"/>
          <w:szCs w:val="24"/>
        </w:rPr>
        <w:t xml:space="preserve"> </w:t>
      </w:r>
      <w:r w:rsidR="00B83960" w:rsidRPr="001B6526">
        <w:rPr>
          <w:rFonts w:ascii="Calibri" w:hAnsi="Calibri"/>
          <w:sz w:val="24"/>
          <w:szCs w:val="24"/>
        </w:rPr>
        <w:t>podczas podłączania PT do systemu PLI CBD</w:t>
      </w:r>
      <w:r w:rsidR="00B0054F">
        <w:rPr>
          <w:rFonts w:ascii="Calibri" w:hAnsi="Calibri"/>
          <w:sz w:val="24"/>
          <w:szCs w:val="24"/>
        </w:rPr>
        <w:t>;</w:t>
      </w:r>
      <w:r w:rsidR="00B83960">
        <w:rPr>
          <w:rFonts w:ascii="Calibri" w:hAnsi="Calibri"/>
          <w:sz w:val="24"/>
          <w:szCs w:val="24"/>
        </w:rPr>
        <w:t xml:space="preserve"> identyfikator ten nie jest powiązany z numerem nadawanym przez UKE podczas rejestracji PT (Rejestr Przedsiębiorców Telekomunikacyjnych)</w:t>
      </w:r>
      <w:r w:rsidR="00B83960" w:rsidRPr="001B6526">
        <w:rPr>
          <w:rFonts w:ascii="Calibri" w:hAnsi="Calibri"/>
          <w:sz w:val="24"/>
          <w:szCs w:val="24"/>
        </w:rPr>
        <w:t>.</w:t>
      </w:r>
    </w:p>
    <w:p w:rsidR="00173045" w:rsidRPr="001B6526" w:rsidRDefault="00173045" w:rsidP="00F02BFE">
      <w:pPr>
        <w:pStyle w:val="Lista2"/>
        <w:numPr>
          <w:ilvl w:val="0"/>
          <w:numId w:val="4"/>
        </w:numPr>
        <w:spacing w:line="276" w:lineRule="auto"/>
        <w:jc w:val="both"/>
        <w:rPr>
          <w:rFonts w:ascii="Calibri" w:hAnsi="Calibri"/>
          <w:b/>
          <w:sz w:val="24"/>
          <w:szCs w:val="24"/>
        </w:rPr>
      </w:pPr>
      <w:r w:rsidRPr="00E7327C">
        <w:rPr>
          <w:rFonts w:ascii="Calibri" w:hAnsi="Calibri"/>
          <w:b/>
          <w:sz w:val="24"/>
          <w:szCs w:val="24"/>
        </w:rPr>
        <w:t>Implementacja numeracji</w:t>
      </w:r>
      <w:r w:rsidR="00DD3322">
        <w:rPr>
          <w:rFonts w:ascii="Calibri" w:hAnsi="Calibri"/>
          <w:b/>
          <w:sz w:val="24"/>
          <w:szCs w:val="24"/>
        </w:rPr>
        <w:t xml:space="preserve"> </w:t>
      </w:r>
      <w:r w:rsidRPr="00E7327C">
        <w:rPr>
          <w:rFonts w:ascii="Calibri" w:hAnsi="Calibri"/>
          <w:b/>
          <w:sz w:val="24"/>
          <w:szCs w:val="24"/>
        </w:rPr>
        <w:t xml:space="preserve"> </w:t>
      </w:r>
      <w:r w:rsidRPr="00E7327C">
        <w:rPr>
          <w:rFonts w:ascii="Calibri" w:hAnsi="Calibri"/>
          <w:sz w:val="24"/>
          <w:szCs w:val="24"/>
        </w:rPr>
        <w:t>–</w:t>
      </w:r>
      <w:r w:rsidR="001B6526">
        <w:rPr>
          <w:rFonts w:ascii="Calibri" w:hAnsi="Calibri"/>
          <w:b/>
          <w:sz w:val="24"/>
          <w:szCs w:val="24"/>
        </w:rPr>
        <w:t xml:space="preserve"> </w:t>
      </w:r>
      <w:r w:rsidR="004D0FFE" w:rsidRPr="00E7327C">
        <w:rPr>
          <w:rFonts w:ascii="Calibri" w:hAnsi="Calibri"/>
          <w:sz w:val="24"/>
          <w:szCs w:val="24"/>
        </w:rPr>
        <w:t xml:space="preserve">realizacja </w:t>
      </w:r>
      <w:r w:rsidRPr="00E7327C">
        <w:rPr>
          <w:rFonts w:ascii="Calibri" w:hAnsi="Calibri"/>
          <w:sz w:val="24"/>
          <w:szCs w:val="24"/>
        </w:rPr>
        <w:t xml:space="preserve">przez </w:t>
      </w:r>
      <w:r w:rsidR="0085021E" w:rsidRPr="00E7327C">
        <w:rPr>
          <w:rFonts w:ascii="Calibri" w:hAnsi="Calibri"/>
          <w:sz w:val="24"/>
          <w:szCs w:val="24"/>
        </w:rPr>
        <w:t xml:space="preserve">Przedsiębiorców Telekomunikacyjnych </w:t>
      </w:r>
      <w:r w:rsidRPr="001B6526">
        <w:rPr>
          <w:rFonts w:ascii="Calibri" w:hAnsi="Calibri"/>
          <w:sz w:val="24"/>
          <w:szCs w:val="24"/>
        </w:rPr>
        <w:t xml:space="preserve">czynności </w:t>
      </w:r>
      <w:r w:rsidR="005E6DFC">
        <w:rPr>
          <w:rFonts w:ascii="Calibri" w:hAnsi="Calibri"/>
          <w:sz w:val="24"/>
          <w:szCs w:val="24"/>
        </w:rPr>
        <w:t>konfiguracyjnych</w:t>
      </w:r>
      <w:r w:rsidR="005E6DFC" w:rsidRPr="001B6526">
        <w:rPr>
          <w:rFonts w:ascii="Calibri" w:hAnsi="Calibri"/>
          <w:sz w:val="24"/>
          <w:szCs w:val="24"/>
        </w:rPr>
        <w:t xml:space="preserve"> </w:t>
      </w:r>
      <w:r w:rsidRPr="001B6526">
        <w:rPr>
          <w:rFonts w:ascii="Calibri" w:hAnsi="Calibri"/>
          <w:sz w:val="24"/>
          <w:szCs w:val="24"/>
        </w:rPr>
        <w:t xml:space="preserve">dotyczących </w:t>
      </w:r>
      <w:r w:rsidR="004D0FFE" w:rsidRPr="001B6526">
        <w:rPr>
          <w:rFonts w:ascii="Calibri" w:hAnsi="Calibri"/>
          <w:sz w:val="24"/>
          <w:szCs w:val="24"/>
        </w:rPr>
        <w:t>I</w:t>
      </w:r>
      <w:r w:rsidRPr="001B6526">
        <w:rPr>
          <w:rFonts w:ascii="Calibri" w:hAnsi="Calibri"/>
          <w:sz w:val="24"/>
          <w:szCs w:val="24"/>
        </w:rPr>
        <w:t xml:space="preserve">nfrastruktury </w:t>
      </w:r>
      <w:r w:rsidR="004D0FFE" w:rsidRPr="001B6526">
        <w:rPr>
          <w:rFonts w:ascii="Calibri" w:hAnsi="Calibri"/>
          <w:sz w:val="24"/>
          <w:szCs w:val="24"/>
        </w:rPr>
        <w:t>T</w:t>
      </w:r>
      <w:r w:rsidRPr="001B6526">
        <w:rPr>
          <w:rFonts w:ascii="Calibri" w:hAnsi="Calibri"/>
          <w:sz w:val="24"/>
          <w:szCs w:val="24"/>
        </w:rPr>
        <w:t>elekomunikacyjnej</w:t>
      </w:r>
      <w:r w:rsidR="005B3547" w:rsidRPr="001B6526">
        <w:rPr>
          <w:rFonts w:ascii="Calibri" w:hAnsi="Calibri"/>
          <w:sz w:val="24"/>
          <w:szCs w:val="24"/>
        </w:rPr>
        <w:t xml:space="preserve"> </w:t>
      </w:r>
      <w:r w:rsidR="004D0FFE" w:rsidRPr="001B6526">
        <w:rPr>
          <w:rFonts w:ascii="Calibri" w:hAnsi="Calibri"/>
          <w:sz w:val="24"/>
          <w:szCs w:val="24"/>
        </w:rPr>
        <w:t xml:space="preserve">i </w:t>
      </w:r>
      <w:r w:rsidR="001B6526">
        <w:rPr>
          <w:rFonts w:ascii="Calibri" w:hAnsi="Calibri"/>
          <w:sz w:val="24"/>
          <w:szCs w:val="24"/>
        </w:rPr>
        <w:t>I</w:t>
      </w:r>
      <w:r w:rsidR="001B6526" w:rsidRPr="001B6526">
        <w:rPr>
          <w:rFonts w:ascii="Calibri" w:hAnsi="Calibri"/>
          <w:sz w:val="24"/>
          <w:szCs w:val="24"/>
        </w:rPr>
        <w:t>nformatycznej</w:t>
      </w:r>
      <w:r w:rsidR="00746F85" w:rsidRPr="001B6526">
        <w:rPr>
          <w:rFonts w:ascii="Calibri" w:hAnsi="Calibri"/>
          <w:sz w:val="24"/>
          <w:szCs w:val="24"/>
        </w:rPr>
        <w:t>,</w:t>
      </w:r>
      <w:r w:rsidR="004D0FFE" w:rsidRPr="001B6526">
        <w:rPr>
          <w:rFonts w:ascii="Calibri" w:hAnsi="Calibri"/>
          <w:sz w:val="24"/>
          <w:szCs w:val="24"/>
        </w:rPr>
        <w:t xml:space="preserve"> </w:t>
      </w:r>
      <w:r w:rsidR="00453880" w:rsidRPr="001B6526">
        <w:rPr>
          <w:rFonts w:ascii="Calibri" w:hAnsi="Calibri"/>
          <w:sz w:val="24"/>
          <w:szCs w:val="24"/>
        </w:rPr>
        <w:t xml:space="preserve">której </w:t>
      </w:r>
      <w:r w:rsidR="0085021E" w:rsidRPr="001B6526">
        <w:rPr>
          <w:rFonts w:ascii="Calibri" w:hAnsi="Calibri"/>
          <w:sz w:val="24"/>
          <w:szCs w:val="24"/>
        </w:rPr>
        <w:t>są</w:t>
      </w:r>
      <w:r w:rsidR="00453880" w:rsidRPr="001B6526">
        <w:rPr>
          <w:rFonts w:ascii="Calibri" w:hAnsi="Calibri"/>
          <w:sz w:val="24"/>
          <w:szCs w:val="24"/>
        </w:rPr>
        <w:t xml:space="preserve"> dysponent</w:t>
      </w:r>
      <w:r w:rsidR="0085021E" w:rsidRPr="001B6526">
        <w:rPr>
          <w:rFonts w:ascii="Calibri" w:hAnsi="Calibri"/>
          <w:sz w:val="24"/>
          <w:szCs w:val="24"/>
        </w:rPr>
        <w:t>ami</w:t>
      </w:r>
      <w:r w:rsidRPr="001B6526">
        <w:rPr>
          <w:rFonts w:ascii="Calibri" w:hAnsi="Calibri"/>
          <w:sz w:val="24"/>
          <w:szCs w:val="24"/>
        </w:rPr>
        <w:t>, po</w:t>
      </w:r>
      <w:r w:rsidR="005E6DFC">
        <w:rPr>
          <w:rFonts w:ascii="Calibri" w:hAnsi="Calibri"/>
          <w:sz w:val="24"/>
          <w:szCs w:val="24"/>
        </w:rPr>
        <w:t xml:space="preserve"> </w:t>
      </w:r>
      <w:r w:rsidRPr="001B6526">
        <w:rPr>
          <w:rFonts w:ascii="Calibri" w:hAnsi="Calibri"/>
          <w:sz w:val="24"/>
          <w:szCs w:val="24"/>
        </w:rPr>
        <w:t>wykonaniu których możliwe</w:t>
      </w:r>
      <w:r w:rsidR="004D0FFE" w:rsidRPr="001B6526">
        <w:rPr>
          <w:rFonts w:ascii="Calibri" w:hAnsi="Calibri"/>
          <w:sz w:val="24"/>
          <w:szCs w:val="24"/>
        </w:rPr>
        <w:t xml:space="preserve"> staje </w:t>
      </w:r>
      <w:r w:rsidR="004D0FFE" w:rsidRPr="00E7327C">
        <w:rPr>
          <w:rFonts w:ascii="Calibri" w:hAnsi="Calibri"/>
          <w:sz w:val="24"/>
          <w:szCs w:val="24"/>
        </w:rPr>
        <w:t>się</w:t>
      </w:r>
      <w:r w:rsidRPr="00E7327C">
        <w:rPr>
          <w:rFonts w:ascii="Calibri" w:hAnsi="Calibri"/>
          <w:sz w:val="24"/>
          <w:szCs w:val="24"/>
        </w:rPr>
        <w:t xml:space="preserve"> rozpoczynanie i zakańczanie połączeń oraz realizacja usług </w:t>
      </w:r>
      <w:r w:rsidRPr="001B6526">
        <w:rPr>
          <w:rFonts w:ascii="Calibri" w:hAnsi="Calibri"/>
          <w:sz w:val="24"/>
          <w:szCs w:val="24"/>
        </w:rPr>
        <w:t>bezpołączeniowych (np. S</w:t>
      </w:r>
      <w:r w:rsidR="004015EE" w:rsidRPr="001B6526">
        <w:rPr>
          <w:rFonts w:ascii="Calibri" w:hAnsi="Calibri"/>
          <w:sz w:val="24"/>
          <w:szCs w:val="24"/>
        </w:rPr>
        <w:t>MS, MMS)</w:t>
      </w:r>
      <w:r w:rsidRPr="001B6526">
        <w:rPr>
          <w:rFonts w:ascii="Calibri" w:hAnsi="Calibri"/>
          <w:sz w:val="24"/>
          <w:szCs w:val="24"/>
        </w:rPr>
        <w:t xml:space="preserve"> na zakresach numeracji przydzielonych </w:t>
      </w:r>
      <w:r w:rsidR="0085021E" w:rsidRPr="001B6526">
        <w:rPr>
          <w:rFonts w:ascii="Calibri" w:hAnsi="Calibri"/>
          <w:sz w:val="24"/>
          <w:szCs w:val="24"/>
        </w:rPr>
        <w:t xml:space="preserve">Przedsiębiorcy Telekomunikacyjnemu </w:t>
      </w:r>
      <w:r w:rsidRPr="001B6526">
        <w:rPr>
          <w:rFonts w:ascii="Calibri" w:hAnsi="Calibri"/>
          <w:sz w:val="24"/>
          <w:szCs w:val="24"/>
        </w:rPr>
        <w:t xml:space="preserve">w drodze decyzji administracyjnej przez Prezesa </w:t>
      </w:r>
      <w:r w:rsidRPr="00E7327C">
        <w:rPr>
          <w:rFonts w:ascii="Calibri" w:hAnsi="Calibri"/>
          <w:sz w:val="24"/>
          <w:szCs w:val="24"/>
        </w:rPr>
        <w:t>UKE</w:t>
      </w:r>
      <w:r w:rsidR="0085021E" w:rsidRPr="00E7327C">
        <w:rPr>
          <w:rFonts w:ascii="Calibri" w:hAnsi="Calibri"/>
          <w:sz w:val="24"/>
          <w:szCs w:val="24"/>
        </w:rPr>
        <w:t xml:space="preserve"> </w:t>
      </w:r>
      <w:r w:rsidR="004D0FFE" w:rsidRPr="00E7327C">
        <w:rPr>
          <w:rFonts w:ascii="Calibri" w:hAnsi="Calibri"/>
          <w:sz w:val="24"/>
          <w:szCs w:val="24"/>
        </w:rPr>
        <w:t xml:space="preserve">lub udostępnionych mu przez innego Przedsiębiorcę </w:t>
      </w:r>
      <w:r w:rsidR="0085021E" w:rsidRPr="00E7327C">
        <w:rPr>
          <w:rFonts w:ascii="Calibri" w:hAnsi="Calibri"/>
          <w:sz w:val="24"/>
          <w:szCs w:val="24"/>
        </w:rPr>
        <w:t>T</w:t>
      </w:r>
      <w:r w:rsidR="004D0FFE" w:rsidRPr="00E7327C">
        <w:rPr>
          <w:rFonts w:ascii="Calibri" w:hAnsi="Calibri"/>
          <w:sz w:val="24"/>
          <w:szCs w:val="24"/>
        </w:rPr>
        <w:t xml:space="preserve">elekomunikacyjnego będącego adresatem takiej decyzji administracyjnej, </w:t>
      </w:r>
      <w:r w:rsidR="00690B5D" w:rsidRPr="00E7327C">
        <w:rPr>
          <w:rFonts w:ascii="Calibri" w:hAnsi="Calibri"/>
          <w:sz w:val="24"/>
          <w:szCs w:val="24"/>
        </w:rPr>
        <w:t>na podstawie umowy o udostępn</w:t>
      </w:r>
      <w:r w:rsidR="004D0FFE" w:rsidRPr="00E7327C">
        <w:rPr>
          <w:rFonts w:ascii="Calibri" w:hAnsi="Calibri"/>
          <w:sz w:val="24"/>
          <w:szCs w:val="24"/>
        </w:rPr>
        <w:t>ieniu numeracji w powyższym celu</w:t>
      </w:r>
      <w:r w:rsidRPr="00E7327C">
        <w:rPr>
          <w:rFonts w:ascii="Calibri" w:hAnsi="Calibri"/>
          <w:sz w:val="24"/>
          <w:szCs w:val="24"/>
        </w:rPr>
        <w:t>.</w:t>
      </w:r>
      <w:r w:rsidR="0085021E" w:rsidRPr="00E7327C">
        <w:rPr>
          <w:rFonts w:ascii="Calibri" w:hAnsi="Calibri"/>
          <w:sz w:val="24"/>
          <w:szCs w:val="24"/>
        </w:rPr>
        <w:t xml:space="preserve"> </w:t>
      </w:r>
      <w:r w:rsidR="0085021E" w:rsidRPr="001B6526">
        <w:rPr>
          <w:rFonts w:ascii="Calibri" w:hAnsi="Calibri"/>
          <w:sz w:val="24"/>
          <w:szCs w:val="24"/>
        </w:rPr>
        <w:t>Przedsiębiorca Telekomuni</w:t>
      </w:r>
      <w:r w:rsidR="002C37C9" w:rsidRPr="001B6526">
        <w:rPr>
          <w:rFonts w:ascii="Calibri" w:hAnsi="Calibri"/>
          <w:sz w:val="24"/>
          <w:szCs w:val="24"/>
        </w:rPr>
        <w:t xml:space="preserve">kacyjny, który otrzymał prawo do dysponowania numeracją w trybie, o którym mowa w zdaniu poprzednim, w pierwszej kolejności dokonuje czynności </w:t>
      </w:r>
      <w:r w:rsidR="005E6DFC">
        <w:rPr>
          <w:rFonts w:ascii="Calibri" w:hAnsi="Calibri"/>
          <w:sz w:val="24"/>
          <w:szCs w:val="24"/>
        </w:rPr>
        <w:t>konfiguracyjnych</w:t>
      </w:r>
      <w:r w:rsidR="005E6DFC" w:rsidRPr="001B6526">
        <w:rPr>
          <w:rFonts w:ascii="Calibri" w:hAnsi="Calibri"/>
          <w:sz w:val="24"/>
          <w:szCs w:val="24"/>
        </w:rPr>
        <w:t xml:space="preserve"> </w:t>
      </w:r>
      <w:r w:rsidR="002C37C9" w:rsidRPr="001B6526">
        <w:rPr>
          <w:rFonts w:ascii="Calibri" w:hAnsi="Calibri"/>
          <w:sz w:val="24"/>
          <w:szCs w:val="24"/>
        </w:rPr>
        <w:t xml:space="preserve">w ramach Infrastruktury Telekomunikacyjnej </w:t>
      </w:r>
      <w:r w:rsidR="001B6526">
        <w:rPr>
          <w:rFonts w:ascii="Calibri" w:hAnsi="Calibri"/>
          <w:sz w:val="24"/>
          <w:szCs w:val="24"/>
        </w:rPr>
        <w:t xml:space="preserve">i Informatycznej </w:t>
      </w:r>
      <w:r w:rsidR="002C37C9" w:rsidRPr="001B6526">
        <w:rPr>
          <w:rFonts w:ascii="Calibri" w:hAnsi="Calibri"/>
          <w:sz w:val="24"/>
          <w:szCs w:val="24"/>
        </w:rPr>
        <w:t>pozostającej w jego dyspozycji</w:t>
      </w:r>
      <w:r w:rsidR="00746F85" w:rsidRPr="001B6526">
        <w:rPr>
          <w:rFonts w:ascii="Calibri" w:hAnsi="Calibri"/>
          <w:sz w:val="24"/>
          <w:szCs w:val="24"/>
        </w:rPr>
        <w:t xml:space="preserve">, a wykorzystywanej dla pełnienia czynności </w:t>
      </w:r>
      <w:r w:rsidR="002C37C9" w:rsidRPr="001B6526">
        <w:rPr>
          <w:rFonts w:ascii="Calibri" w:hAnsi="Calibri"/>
          <w:sz w:val="24"/>
          <w:szCs w:val="24"/>
        </w:rPr>
        <w:t xml:space="preserve"> Operatora Usług Towarzyszących lub </w:t>
      </w:r>
      <w:r w:rsidR="00815592" w:rsidRPr="001B6526">
        <w:rPr>
          <w:rFonts w:ascii="Calibri" w:hAnsi="Calibri"/>
          <w:sz w:val="24"/>
          <w:szCs w:val="24"/>
        </w:rPr>
        <w:t xml:space="preserve">Operatora </w:t>
      </w:r>
      <w:r w:rsidR="002C37C9" w:rsidRPr="001B6526">
        <w:rPr>
          <w:rFonts w:ascii="Calibri" w:hAnsi="Calibri"/>
          <w:sz w:val="24"/>
          <w:szCs w:val="24"/>
        </w:rPr>
        <w:t xml:space="preserve">Macierzystego, ewentualnie </w:t>
      </w:r>
      <w:r w:rsidR="00746F85" w:rsidRPr="001B6526">
        <w:rPr>
          <w:rFonts w:ascii="Calibri" w:hAnsi="Calibri"/>
          <w:sz w:val="24"/>
          <w:szCs w:val="24"/>
        </w:rPr>
        <w:t xml:space="preserve">w dyspozycji </w:t>
      </w:r>
      <w:r w:rsidR="002C37C9" w:rsidRPr="001B6526">
        <w:rPr>
          <w:rFonts w:ascii="Calibri" w:hAnsi="Calibri"/>
          <w:sz w:val="24"/>
          <w:szCs w:val="24"/>
        </w:rPr>
        <w:t>innych Przedsiębiorców Telekomunikacyjnych</w:t>
      </w:r>
      <w:r w:rsidR="00746F85" w:rsidRPr="001B6526">
        <w:rPr>
          <w:rFonts w:ascii="Calibri" w:hAnsi="Calibri"/>
          <w:sz w:val="24"/>
          <w:szCs w:val="24"/>
        </w:rPr>
        <w:t>,</w:t>
      </w:r>
      <w:r w:rsidR="002C37C9" w:rsidRPr="001B6526">
        <w:rPr>
          <w:rFonts w:ascii="Calibri" w:hAnsi="Calibri"/>
          <w:sz w:val="24"/>
          <w:szCs w:val="24"/>
        </w:rPr>
        <w:t xml:space="preserve"> którzy </w:t>
      </w:r>
      <w:r w:rsidR="00746F85" w:rsidRPr="001B6526">
        <w:rPr>
          <w:rFonts w:ascii="Calibri" w:hAnsi="Calibri"/>
          <w:sz w:val="24"/>
          <w:szCs w:val="24"/>
        </w:rPr>
        <w:t xml:space="preserve">dla niego </w:t>
      </w:r>
      <w:r w:rsidR="002C37C9" w:rsidRPr="001B6526">
        <w:rPr>
          <w:rFonts w:ascii="Calibri" w:hAnsi="Calibri"/>
          <w:sz w:val="24"/>
          <w:szCs w:val="24"/>
        </w:rPr>
        <w:t xml:space="preserve">realizują te dwie funkcje </w:t>
      </w:r>
      <w:r w:rsidR="00746F85" w:rsidRPr="001B6526">
        <w:rPr>
          <w:rFonts w:ascii="Calibri" w:hAnsi="Calibri"/>
          <w:sz w:val="24"/>
          <w:szCs w:val="24"/>
        </w:rPr>
        <w:t>(czynności)</w:t>
      </w:r>
      <w:r w:rsidR="002C37C9" w:rsidRPr="001B6526">
        <w:rPr>
          <w:rFonts w:ascii="Calibri" w:hAnsi="Calibri"/>
          <w:sz w:val="24"/>
          <w:szCs w:val="24"/>
        </w:rPr>
        <w:t xml:space="preserve">, a następnie powiadamia </w:t>
      </w:r>
      <w:r w:rsidR="00746F85" w:rsidRPr="001B6526">
        <w:rPr>
          <w:rFonts w:ascii="Calibri" w:hAnsi="Calibri"/>
          <w:sz w:val="24"/>
          <w:szCs w:val="24"/>
        </w:rPr>
        <w:t xml:space="preserve">o tym fakcie </w:t>
      </w:r>
      <w:r w:rsidR="002C37C9" w:rsidRPr="001B6526">
        <w:rPr>
          <w:rFonts w:ascii="Calibri" w:hAnsi="Calibri"/>
          <w:sz w:val="24"/>
          <w:szCs w:val="24"/>
        </w:rPr>
        <w:t>pozostałych Przedsiębiorców Telekomunikacyjnych (</w:t>
      </w:r>
      <w:r w:rsidR="00A12AAC" w:rsidRPr="001B6526">
        <w:rPr>
          <w:rFonts w:ascii="Calibri" w:hAnsi="Calibri"/>
          <w:sz w:val="24"/>
          <w:szCs w:val="24"/>
        </w:rPr>
        <w:t>„</w:t>
      </w:r>
      <w:r w:rsidR="002C37C9" w:rsidRPr="001B6526">
        <w:rPr>
          <w:rFonts w:ascii="Calibri" w:hAnsi="Calibri"/>
          <w:sz w:val="24"/>
          <w:szCs w:val="24"/>
        </w:rPr>
        <w:t>rozgłasza numerację</w:t>
      </w:r>
      <w:r w:rsidR="00A12AAC" w:rsidRPr="001B6526">
        <w:rPr>
          <w:rFonts w:ascii="Calibri" w:hAnsi="Calibri"/>
          <w:sz w:val="24"/>
          <w:szCs w:val="24"/>
        </w:rPr>
        <w:t>”</w:t>
      </w:r>
      <w:r w:rsidR="002C37C9" w:rsidRPr="001B6526">
        <w:rPr>
          <w:rFonts w:ascii="Calibri" w:hAnsi="Calibri"/>
          <w:sz w:val="24"/>
          <w:szCs w:val="24"/>
        </w:rPr>
        <w:t>), p</w:t>
      </w:r>
      <w:r w:rsidR="00746F85" w:rsidRPr="001B6526">
        <w:rPr>
          <w:rFonts w:ascii="Calibri" w:hAnsi="Calibri"/>
          <w:sz w:val="24"/>
          <w:szCs w:val="24"/>
        </w:rPr>
        <w:t>rzekazując im</w:t>
      </w:r>
      <w:r w:rsidR="002C37C9" w:rsidRPr="001B6526">
        <w:rPr>
          <w:rFonts w:ascii="Calibri" w:hAnsi="Calibri"/>
          <w:sz w:val="24"/>
          <w:szCs w:val="24"/>
        </w:rPr>
        <w:t xml:space="preserve"> informacje niezbędne do poprawnego kierowania ruchu</w:t>
      </w:r>
      <w:r w:rsidR="00A12AAC" w:rsidRPr="001B6526">
        <w:rPr>
          <w:rFonts w:ascii="Calibri" w:hAnsi="Calibri"/>
          <w:sz w:val="24"/>
          <w:szCs w:val="24"/>
        </w:rPr>
        <w:t xml:space="preserve"> do wyżej wymienionego zakresu numeracji.</w:t>
      </w:r>
      <w:r w:rsidR="002C37C9" w:rsidRPr="001B6526">
        <w:rPr>
          <w:rFonts w:ascii="Calibri" w:hAnsi="Calibri"/>
          <w:sz w:val="24"/>
          <w:szCs w:val="24"/>
        </w:rPr>
        <w:t xml:space="preserve">  </w:t>
      </w:r>
      <w:r w:rsidR="0085021E" w:rsidRPr="001B6526">
        <w:rPr>
          <w:rFonts w:ascii="Calibri" w:hAnsi="Calibri"/>
          <w:sz w:val="24"/>
          <w:szCs w:val="24"/>
        </w:rPr>
        <w:t xml:space="preserve">   </w:t>
      </w:r>
    </w:p>
    <w:p w:rsidR="004567BF" w:rsidRPr="004F057F" w:rsidRDefault="004567BF" w:rsidP="00F02BFE">
      <w:pPr>
        <w:pStyle w:val="Lista2"/>
        <w:numPr>
          <w:ilvl w:val="0"/>
          <w:numId w:val="4"/>
        </w:numPr>
        <w:spacing w:line="276" w:lineRule="auto"/>
        <w:jc w:val="both"/>
        <w:rPr>
          <w:rFonts w:ascii="Calibri" w:hAnsi="Calibri"/>
          <w:sz w:val="24"/>
          <w:szCs w:val="24"/>
        </w:rPr>
      </w:pPr>
      <w:r w:rsidRPr="004F057F">
        <w:rPr>
          <w:rFonts w:ascii="Calibri" w:hAnsi="Calibri"/>
          <w:b/>
          <w:sz w:val="24"/>
          <w:szCs w:val="24"/>
        </w:rPr>
        <w:t>Infrastruktura Telekomunikacyjna</w:t>
      </w:r>
      <w:r w:rsidRPr="004F057F">
        <w:rPr>
          <w:rFonts w:ascii="Calibri" w:hAnsi="Calibri"/>
          <w:sz w:val="24"/>
          <w:szCs w:val="24"/>
        </w:rPr>
        <w:t xml:space="preserve"> – urządzenia telekomunikacyjne, za wyjątkiem telekomunikacyjnych urządzeń końcowych. </w:t>
      </w:r>
    </w:p>
    <w:p w:rsidR="004567BF" w:rsidRPr="004F057F" w:rsidRDefault="004567BF" w:rsidP="00F02BFE">
      <w:pPr>
        <w:pStyle w:val="Lista2"/>
        <w:numPr>
          <w:ilvl w:val="0"/>
          <w:numId w:val="4"/>
        </w:numPr>
        <w:spacing w:line="276" w:lineRule="auto"/>
        <w:jc w:val="both"/>
        <w:rPr>
          <w:rFonts w:ascii="Calibri" w:hAnsi="Calibri"/>
          <w:sz w:val="24"/>
          <w:szCs w:val="24"/>
        </w:rPr>
      </w:pPr>
      <w:r w:rsidRPr="004F057F">
        <w:rPr>
          <w:rFonts w:ascii="Calibri" w:hAnsi="Calibri"/>
          <w:b/>
          <w:sz w:val="24"/>
          <w:szCs w:val="24"/>
        </w:rPr>
        <w:t>Interfejs Systemu Informatycznego (ISI)</w:t>
      </w:r>
      <w:r w:rsidRPr="004F057F">
        <w:rPr>
          <w:rFonts w:ascii="Calibri" w:hAnsi="Calibri"/>
          <w:sz w:val="24"/>
          <w:szCs w:val="24"/>
        </w:rPr>
        <w:t xml:space="preserve"> – Portal WWW lub EKWD, według wyboru PT, zestawiony pomi</w:t>
      </w:r>
      <w:r w:rsidR="00593FA7" w:rsidRPr="004F057F">
        <w:rPr>
          <w:rFonts w:ascii="Calibri" w:hAnsi="Calibri"/>
          <w:sz w:val="24"/>
          <w:szCs w:val="24"/>
        </w:rPr>
        <w:t>ędzy Stronami</w:t>
      </w:r>
      <w:r w:rsidRPr="004F057F">
        <w:rPr>
          <w:rFonts w:ascii="Calibri" w:hAnsi="Calibri"/>
          <w:sz w:val="24"/>
          <w:szCs w:val="24"/>
        </w:rPr>
        <w:t>, przez który PT uzyskuje możliwość efektywnego składa</w:t>
      </w:r>
      <w:r w:rsidR="00593FA7" w:rsidRPr="004F057F">
        <w:rPr>
          <w:rFonts w:ascii="Calibri" w:hAnsi="Calibri"/>
          <w:sz w:val="24"/>
          <w:szCs w:val="24"/>
        </w:rPr>
        <w:t xml:space="preserve">nia wniosków, zamówień, </w:t>
      </w:r>
      <w:r w:rsidRPr="004F057F">
        <w:rPr>
          <w:rFonts w:ascii="Calibri" w:hAnsi="Calibri"/>
          <w:sz w:val="24"/>
          <w:szCs w:val="24"/>
        </w:rPr>
        <w:t xml:space="preserve">modyfikacji </w:t>
      </w:r>
      <w:r w:rsidR="00746F85">
        <w:rPr>
          <w:rFonts w:ascii="Calibri" w:hAnsi="Calibri"/>
          <w:sz w:val="24"/>
          <w:szCs w:val="24"/>
        </w:rPr>
        <w:t>U</w:t>
      </w:r>
      <w:r w:rsidRPr="004F057F">
        <w:rPr>
          <w:rFonts w:ascii="Calibri" w:hAnsi="Calibri"/>
          <w:sz w:val="24"/>
          <w:szCs w:val="24"/>
        </w:rPr>
        <w:t>sług</w:t>
      </w:r>
      <w:r w:rsidR="00264317">
        <w:rPr>
          <w:rFonts w:ascii="Calibri" w:hAnsi="Calibri"/>
          <w:sz w:val="24"/>
          <w:szCs w:val="24"/>
        </w:rPr>
        <w:t xml:space="preserve"> </w:t>
      </w:r>
      <w:r w:rsidR="00746F85">
        <w:rPr>
          <w:rFonts w:ascii="Calibri" w:hAnsi="Calibri"/>
          <w:sz w:val="24"/>
          <w:szCs w:val="24"/>
        </w:rPr>
        <w:t>H</w:t>
      </w:r>
      <w:r w:rsidR="00264317">
        <w:rPr>
          <w:rFonts w:ascii="Calibri" w:hAnsi="Calibri"/>
          <w:sz w:val="24"/>
          <w:szCs w:val="24"/>
        </w:rPr>
        <w:t>urtowych</w:t>
      </w:r>
      <w:r w:rsidRPr="004F057F">
        <w:rPr>
          <w:rFonts w:ascii="Calibri" w:hAnsi="Calibri"/>
          <w:sz w:val="24"/>
          <w:szCs w:val="24"/>
        </w:rPr>
        <w:t>. Ponadto, Interfejs Systemu Informatycznego umożliw</w:t>
      </w:r>
      <w:r w:rsidR="00593FA7" w:rsidRPr="004F057F">
        <w:rPr>
          <w:rFonts w:ascii="Calibri" w:hAnsi="Calibri"/>
          <w:sz w:val="24"/>
          <w:szCs w:val="24"/>
        </w:rPr>
        <w:t xml:space="preserve">ia PT dostęp do baz danych </w:t>
      </w:r>
      <w:r w:rsidRPr="004F057F">
        <w:rPr>
          <w:rFonts w:ascii="Calibri" w:hAnsi="Calibri"/>
          <w:sz w:val="24"/>
          <w:szCs w:val="24"/>
        </w:rPr>
        <w:t>zawierających informacje przewidziane w ramach IO, pozwalających na określenie możliwości świadczenia Usługi Abonenckiej.</w:t>
      </w:r>
    </w:p>
    <w:p w:rsidR="00B32F46" w:rsidRDefault="00B32F46" w:rsidP="001235D5">
      <w:pPr>
        <w:pStyle w:val="Lista2"/>
        <w:numPr>
          <w:ilvl w:val="0"/>
          <w:numId w:val="4"/>
        </w:numPr>
        <w:spacing w:line="276" w:lineRule="auto"/>
        <w:jc w:val="both"/>
        <w:rPr>
          <w:rFonts w:ascii="Calibri" w:hAnsi="Calibri" w:cs="Arial"/>
          <w:sz w:val="24"/>
          <w:szCs w:val="24"/>
        </w:rPr>
      </w:pPr>
      <w:r w:rsidRPr="00331F85">
        <w:rPr>
          <w:rFonts w:ascii="Calibri" w:hAnsi="Calibri" w:cs="Arial"/>
          <w:b/>
          <w:sz w:val="24"/>
          <w:szCs w:val="24"/>
        </w:rPr>
        <w:t>Komunikaty E</w:t>
      </w:r>
      <w:r>
        <w:rPr>
          <w:rFonts w:ascii="Calibri" w:hAnsi="Calibri" w:cs="Arial"/>
          <w:sz w:val="24"/>
          <w:szCs w:val="24"/>
        </w:rPr>
        <w:t xml:space="preserve"> – komunikaty </w:t>
      </w:r>
      <w:proofErr w:type="spellStart"/>
      <w:r>
        <w:rPr>
          <w:rFonts w:ascii="Calibri" w:hAnsi="Calibri" w:cs="Arial"/>
          <w:sz w:val="24"/>
          <w:szCs w:val="24"/>
        </w:rPr>
        <w:t>XML’owe</w:t>
      </w:r>
      <w:proofErr w:type="spellEnd"/>
      <w:r>
        <w:rPr>
          <w:rFonts w:ascii="Calibri" w:hAnsi="Calibri" w:cs="Arial"/>
          <w:sz w:val="24"/>
          <w:szCs w:val="24"/>
        </w:rPr>
        <w:t xml:space="preserve"> wykorzystywane do procesowania spraw przeniesienia numerów:</w:t>
      </w:r>
    </w:p>
    <w:p w:rsidR="00B32F46" w:rsidRPr="00B32F46" w:rsidRDefault="00B32F46" w:rsidP="00B32F46">
      <w:pPr>
        <w:pStyle w:val="Lista2"/>
        <w:numPr>
          <w:ilvl w:val="1"/>
          <w:numId w:val="4"/>
        </w:numPr>
        <w:spacing w:line="276" w:lineRule="auto"/>
        <w:jc w:val="both"/>
        <w:rPr>
          <w:rFonts w:ascii="Calibri" w:hAnsi="Calibri"/>
          <w:sz w:val="24"/>
          <w:szCs w:val="24"/>
        </w:rPr>
      </w:pPr>
      <w:r w:rsidRPr="00B32F46">
        <w:rPr>
          <w:rFonts w:ascii="Calibri" w:hAnsi="Calibri"/>
          <w:sz w:val="24"/>
          <w:szCs w:val="24"/>
        </w:rPr>
        <w:t xml:space="preserve">E03 – </w:t>
      </w:r>
      <w:r w:rsidR="00264317">
        <w:rPr>
          <w:rFonts w:ascii="Calibri" w:hAnsi="Calibri"/>
          <w:sz w:val="24"/>
          <w:szCs w:val="24"/>
        </w:rPr>
        <w:t xml:space="preserve">   </w:t>
      </w:r>
      <w:r w:rsidRPr="00B32F46">
        <w:rPr>
          <w:rFonts w:ascii="Calibri" w:hAnsi="Calibri"/>
          <w:sz w:val="24"/>
          <w:szCs w:val="24"/>
        </w:rPr>
        <w:t>Zarejestrowanie wniosku o Przeniesienie Numeru</w:t>
      </w:r>
    </w:p>
    <w:p w:rsidR="00B32F46" w:rsidRDefault="00B32F46" w:rsidP="00B32F46">
      <w:pPr>
        <w:pStyle w:val="Lista2"/>
        <w:numPr>
          <w:ilvl w:val="1"/>
          <w:numId w:val="4"/>
        </w:numPr>
        <w:spacing w:line="276" w:lineRule="auto"/>
        <w:jc w:val="both"/>
        <w:rPr>
          <w:rFonts w:ascii="Calibri" w:hAnsi="Calibri"/>
          <w:sz w:val="24"/>
          <w:szCs w:val="24"/>
        </w:rPr>
      </w:pPr>
      <w:r w:rsidRPr="00B32F46">
        <w:rPr>
          <w:rFonts w:ascii="Calibri" w:hAnsi="Calibri"/>
          <w:sz w:val="24"/>
          <w:szCs w:val="24"/>
        </w:rPr>
        <w:t>E06 – Informacja Dawcy o planowanym terminie zwolnienia Numeru Katalogowego</w:t>
      </w:r>
      <w:r w:rsidR="00777263">
        <w:rPr>
          <w:rFonts w:ascii="Calibri" w:hAnsi="Calibri"/>
          <w:sz w:val="24"/>
          <w:szCs w:val="24"/>
        </w:rPr>
        <w:t>, tj. dacie kiedy Biorca może rozpocząć świadczenie usług telekomunikacyjnych.</w:t>
      </w:r>
    </w:p>
    <w:p w:rsidR="00042C42" w:rsidRDefault="00042C42" w:rsidP="00B32F46">
      <w:pPr>
        <w:pStyle w:val="Lista2"/>
        <w:numPr>
          <w:ilvl w:val="1"/>
          <w:numId w:val="4"/>
        </w:numPr>
        <w:spacing w:line="276" w:lineRule="auto"/>
        <w:jc w:val="both"/>
        <w:rPr>
          <w:rFonts w:ascii="Calibri" w:hAnsi="Calibri"/>
          <w:sz w:val="24"/>
          <w:szCs w:val="24"/>
        </w:rPr>
      </w:pPr>
      <w:r>
        <w:rPr>
          <w:rFonts w:ascii="Calibri" w:hAnsi="Calibri"/>
          <w:sz w:val="24"/>
          <w:szCs w:val="24"/>
        </w:rPr>
        <w:t>E07 –</w:t>
      </w:r>
      <w:r w:rsidR="00A0156D">
        <w:rPr>
          <w:rFonts w:ascii="Calibri" w:hAnsi="Calibri"/>
          <w:sz w:val="24"/>
          <w:szCs w:val="24"/>
        </w:rPr>
        <w:t xml:space="preserve"> weryfikacja istnienia Sprawy Przeniesienia Numeru powiązanej z zamówieniem na Usługę Hurtową</w:t>
      </w:r>
      <w:r>
        <w:rPr>
          <w:rFonts w:ascii="Calibri" w:hAnsi="Calibri"/>
          <w:sz w:val="24"/>
          <w:szCs w:val="24"/>
        </w:rPr>
        <w:t xml:space="preserve"> </w:t>
      </w:r>
    </w:p>
    <w:p w:rsidR="00042C42" w:rsidRDefault="00042C42" w:rsidP="00B32F46">
      <w:pPr>
        <w:pStyle w:val="Lista2"/>
        <w:numPr>
          <w:ilvl w:val="1"/>
          <w:numId w:val="4"/>
        </w:numPr>
        <w:spacing w:line="276" w:lineRule="auto"/>
        <w:jc w:val="both"/>
        <w:rPr>
          <w:rFonts w:ascii="Calibri" w:hAnsi="Calibri"/>
          <w:sz w:val="24"/>
          <w:szCs w:val="24"/>
        </w:rPr>
      </w:pPr>
      <w:r>
        <w:rPr>
          <w:rFonts w:ascii="Calibri" w:hAnsi="Calibri"/>
          <w:sz w:val="24"/>
          <w:szCs w:val="24"/>
        </w:rPr>
        <w:t xml:space="preserve">E08 – </w:t>
      </w:r>
      <w:r w:rsidR="00A0156D">
        <w:rPr>
          <w:rFonts w:ascii="Calibri" w:hAnsi="Calibri"/>
          <w:sz w:val="24"/>
          <w:szCs w:val="24"/>
        </w:rPr>
        <w:t>informacja o Sprawie Przeniesienia Numeru powiązanej z zamówieniem na Usługę Hurtową</w:t>
      </w:r>
    </w:p>
    <w:p w:rsidR="00042C42" w:rsidRDefault="00042C42" w:rsidP="00B32F46">
      <w:pPr>
        <w:pStyle w:val="Lista2"/>
        <w:numPr>
          <w:ilvl w:val="1"/>
          <w:numId w:val="4"/>
        </w:numPr>
        <w:spacing w:line="276" w:lineRule="auto"/>
        <w:jc w:val="both"/>
        <w:rPr>
          <w:rFonts w:ascii="Calibri" w:hAnsi="Calibri"/>
          <w:sz w:val="24"/>
          <w:szCs w:val="24"/>
        </w:rPr>
      </w:pPr>
      <w:r>
        <w:rPr>
          <w:rFonts w:ascii="Calibri" w:hAnsi="Calibri"/>
          <w:sz w:val="24"/>
          <w:szCs w:val="24"/>
        </w:rPr>
        <w:t xml:space="preserve">E09 – </w:t>
      </w:r>
      <w:r w:rsidR="00A0156D">
        <w:rPr>
          <w:rFonts w:ascii="Calibri" w:hAnsi="Calibri"/>
          <w:sz w:val="24"/>
          <w:szCs w:val="24"/>
        </w:rPr>
        <w:t>potwierdzenie daty realizacji zamówienia na Usługę Hurtową powiązanej ze Sprawa Przeniesienia Numeru</w:t>
      </w:r>
    </w:p>
    <w:p w:rsidR="00042C42" w:rsidRDefault="00042C42" w:rsidP="00B32F46">
      <w:pPr>
        <w:pStyle w:val="Lista2"/>
        <w:numPr>
          <w:ilvl w:val="1"/>
          <w:numId w:val="4"/>
        </w:numPr>
        <w:spacing w:line="276" w:lineRule="auto"/>
        <w:jc w:val="both"/>
        <w:rPr>
          <w:rFonts w:ascii="Calibri" w:hAnsi="Calibri"/>
          <w:sz w:val="24"/>
          <w:szCs w:val="24"/>
        </w:rPr>
      </w:pPr>
      <w:r>
        <w:rPr>
          <w:rFonts w:ascii="Calibri" w:hAnsi="Calibri"/>
          <w:sz w:val="24"/>
          <w:szCs w:val="24"/>
        </w:rPr>
        <w:t xml:space="preserve">E10 – </w:t>
      </w:r>
      <w:r w:rsidR="00A0156D">
        <w:rPr>
          <w:rFonts w:ascii="Calibri" w:hAnsi="Calibri"/>
          <w:sz w:val="24"/>
          <w:szCs w:val="24"/>
        </w:rPr>
        <w:t>wynik realizacji zamówienia na Usługę Hurtową powiązanej ze Spraw</w:t>
      </w:r>
      <w:r w:rsidR="00375EDA">
        <w:rPr>
          <w:rFonts w:ascii="Calibri" w:hAnsi="Calibri"/>
          <w:sz w:val="24"/>
          <w:szCs w:val="24"/>
        </w:rPr>
        <w:t>ą</w:t>
      </w:r>
      <w:r w:rsidR="00A0156D">
        <w:rPr>
          <w:rFonts w:ascii="Calibri" w:hAnsi="Calibri"/>
          <w:sz w:val="24"/>
          <w:szCs w:val="24"/>
        </w:rPr>
        <w:t xml:space="preserve"> Przeniesienia Numeru</w:t>
      </w:r>
    </w:p>
    <w:p w:rsidR="00042C42" w:rsidRPr="00B32F46" w:rsidRDefault="00042C42" w:rsidP="00B32F46">
      <w:pPr>
        <w:pStyle w:val="Lista2"/>
        <w:numPr>
          <w:ilvl w:val="1"/>
          <w:numId w:val="4"/>
        </w:numPr>
        <w:spacing w:line="276" w:lineRule="auto"/>
        <w:jc w:val="both"/>
        <w:rPr>
          <w:rFonts w:ascii="Calibri" w:hAnsi="Calibri"/>
          <w:sz w:val="24"/>
          <w:szCs w:val="24"/>
        </w:rPr>
      </w:pPr>
      <w:r>
        <w:rPr>
          <w:rFonts w:ascii="Calibri" w:hAnsi="Calibri"/>
          <w:sz w:val="24"/>
          <w:szCs w:val="24"/>
        </w:rPr>
        <w:t xml:space="preserve">E11 - </w:t>
      </w:r>
      <w:r w:rsidR="00A0156D">
        <w:rPr>
          <w:rFonts w:ascii="Calibri" w:hAnsi="Calibri"/>
          <w:sz w:val="24"/>
          <w:szCs w:val="24"/>
        </w:rPr>
        <w:t>realizacji zamówienia na Usługę Hurtową</w:t>
      </w:r>
      <w:r w:rsidR="00375EDA">
        <w:rPr>
          <w:rFonts w:ascii="Calibri" w:hAnsi="Calibri"/>
          <w:sz w:val="24"/>
          <w:szCs w:val="24"/>
        </w:rPr>
        <w:t xml:space="preserve"> dla innych podprocesów (nie powiązanych ze Sprawą Przeniesienia Numeru)</w:t>
      </w:r>
    </w:p>
    <w:p w:rsidR="00B32F46" w:rsidRPr="00B32F46" w:rsidRDefault="00B32F46" w:rsidP="00B32F46">
      <w:pPr>
        <w:pStyle w:val="Lista2"/>
        <w:numPr>
          <w:ilvl w:val="1"/>
          <w:numId w:val="4"/>
        </w:numPr>
        <w:spacing w:line="276" w:lineRule="auto"/>
        <w:jc w:val="both"/>
        <w:rPr>
          <w:rFonts w:ascii="Calibri" w:hAnsi="Calibri"/>
          <w:sz w:val="24"/>
          <w:szCs w:val="24"/>
        </w:rPr>
      </w:pPr>
      <w:r w:rsidRPr="00B32F46">
        <w:rPr>
          <w:rFonts w:ascii="Calibri" w:hAnsi="Calibri"/>
          <w:sz w:val="24"/>
          <w:szCs w:val="24"/>
        </w:rPr>
        <w:t>E12 – Żądanie wydania Numeru Katalogowego przez Dawcę</w:t>
      </w:r>
      <w:r w:rsidR="00777263">
        <w:rPr>
          <w:rFonts w:ascii="Calibri" w:hAnsi="Calibri"/>
          <w:sz w:val="24"/>
          <w:szCs w:val="24"/>
        </w:rPr>
        <w:t>, potwierdzenie zawarcia Umowy z Abonentem</w:t>
      </w:r>
    </w:p>
    <w:p w:rsidR="00B32F46" w:rsidRPr="00B32F46" w:rsidRDefault="00B32F46" w:rsidP="00B32F46">
      <w:pPr>
        <w:pStyle w:val="Lista2"/>
        <w:numPr>
          <w:ilvl w:val="1"/>
          <w:numId w:val="4"/>
        </w:numPr>
        <w:spacing w:line="276" w:lineRule="auto"/>
        <w:jc w:val="both"/>
        <w:rPr>
          <w:rFonts w:ascii="Calibri" w:hAnsi="Calibri"/>
          <w:sz w:val="24"/>
          <w:szCs w:val="24"/>
        </w:rPr>
      </w:pPr>
      <w:r w:rsidRPr="00B32F46">
        <w:rPr>
          <w:rFonts w:ascii="Calibri" w:hAnsi="Calibri"/>
          <w:sz w:val="24"/>
          <w:szCs w:val="24"/>
        </w:rPr>
        <w:t xml:space="preserve">E13 – Zwolnienie Numeru Katalogowego przez Dawcę – udostępnienie informacji dla </w:t>
      </w:r>
      <w:r w:rsidR="00690B5D">
        <w:rPr>
          <w:rFonts w:ascii="Calibri" w:hAnsi="Calibri"/>
          <w:sz w:val="24"/>
          <w:szCs w:val="24"/>
        </w:rPr>
        <w:t>D</w:t>
      </w:r>
      <w:r w:rsidRPr="00B32F46">
        <w:rPr>
          <w:rFonts w:ascii="Calibri" w:hAnsi="Calibri"/>
          <w:sz w:val="24"/>
          <w:szCs w:val="24"/>
        </w:rPr>
        <w:t>ostawców usług</w:t>
      </w:r>
    </w:p>
    <w:p w:rsidR="0005306F" w:rsidRDefault="00B32F46" w:rsidP="00D30A28">
      <w:pPr>
        <w:pStyle w:val="Lista2"/>
        <w:spacing w:line="276" w:lineRule="auto"/>
        <w:ind w:left="1440" w:firstLine="0"/>
        <w:jc w:val="both"/>
        <w:rPr>
          <w:rFonts w:ascii="Calibri" w:hAnsi="Calibri"/>
          <w:sz w:val="24"/>
          <w:szCs w:val="24"/>
        </w:rPr>
      </w:pPr>
      <w:r w:rsidRPr="00D9147A">
        <w:rPr>
          <w:rFonts w:ascii="Calibri" w:hAnsi="Calibri"/>
          <w:sz w:val="24"/>
          <w:szCs w:val="24"/>
        </w:rPr>
        <w:t xml:space="preserve">E14 – </w:t>
      </w:r>
      <w:r w:rsidR="006437A0" w:rsidRPr="00D30A28">
        <w:rPr>
          <w:rFonts w:ascii="Calibri" w:hAnsi="Calibri"/>
          <w:sz w:val="24"/>
          <w:szCs w:val="24"/>
        </w:rPr>
        <w:t>Zwrot Numeru / zakresu DDI (komunikat E14) po zakończeniu świadczenia usług przez Przedsiębiorcę Telekomunikacyjnego bez Przeniesienia Numeru do kolejnego Przedsiębiorcy Telekomunikacyjnego lub zwrotu numeru do w przypadku rezygnacji z usługi lub przy zmianie numeru przeniesionego na  inny realizowany jest na podstawie art.69 Pt</w:t>
      </w:r>
      <w:r w:rsidR="00D9147A">
        <w:rPr>
          <w:rFonts w:ascii="Calibri" w:hAnsi="Calibri"/>
          <w:sz w:val="24"/>
          <w:szCs w:val="24"/>
        </w:rPr>
        <w:t>.</w:t>
      </w:r>
    </w:p>
    <w:p w:rsidR="0005306F" w:rsidRDefault="00CA38E5" w:rsidP="00D30A28">
      <w:pPr>
        <w:pStyle w:val="Lista2"/>
        <w:numPr>
          <w:ilvl w:val="1"/>
          <w:numId w:val="4"/>
        </w:numPr>
        <w:spacing w:line="276" w:lineRule="auto"/>
        <w:jc w:val="both"/>
        <w:rPr>
          <w:rFonts w:ascii="Calibri" w:hAnsi="Calibri"/>
          <w:sz w:val="24"/>
          <w:szCs w:val="24"/>
        </w:rPr>
      </w:pPr>
      <w:r>
        <w:rPr>
          <w:rFonts w:ascii="Calibri" w:hAnsi="Calibri"/>
          <w:sz w:val="24"/>
          <w:szCs w:val="24"/>
        </w:rPr>
        <w:t>E16</w:t>
      </w:r>
      <w:r w:rsidRPr="00B32F46">
        <w:rPr>
          <w:rFonts w:ascii="Calibri" w:hAnsi="Calibri"/>
          <w:sz w:val="24"/>
          <w:szCs w:val="24"/>
        </w:rPr>
        <w:t xml:space="preserve"> – Odmowa przeniesienia Numeru Katalogowego przez </w:t>
      </w:r>
      <w:r>
        <w:rPr>
          <w:rFonts w:ascii="Calibri" w:hAnsi="Calibri"/>
          <w:sz w:val="24"/>
          <w:szCs w:val="24"/>
        </w:rPr>
        <w:t>PLI CBD</w:t>
      </w:r>
    </w:p>
    <w:p w:rsidR="0005306F" w:rsidRDefault="00B32F46" w:rsidP="00D30A28">
      <w:pPr>
        <w:pStyle w:val="Lista2"/>
        <w:numPr>
          <w:ilvl w:val="1"/>
          <w:numId w:val="4"/>
        </w:numPr>
        <w:spacing w:line="276" w:lineRule="auto"/>
        <w:jc w:val="both"/>
        <w:rPr>
          <w:rFonts w:ascii="Calibri" w:hAnsi="Calibri"/>
          <w:sz w:val="24"/>
          <w:szCs w:val="24"/>
        </w:rPr>
      </w:pPr>
      <w:r w:rsidRPr="00B32F46">
        <w:rPr>
          <w:rFonts w:ascii="Calibri" w:hAnsi="Calibri"/>
          <w:sz w:val="24"/>
          <w:szCs w:val="24"/>
        </w:rPr>
        <w:t>E17 – Odmowa przeniesienia Numeru Katalogowego przez Dawcę w danym dniu</w:t>
      </w:r>
    </w:p>
    <w:p w:rsidR="0005306F" w:rsidRDefault="00B32F46" w:rsidP="00D30A28">
      <w:pPr>
        <w:pStyle w:val="Lista2"/>
        <w:numPr>
          <w:ilvl w:val="1"/>
          <w:numId w:val="4"/>
        </w:numPr>
        <w:spacing w:line="276" w:lineRule="auto"/>
        <w:jc w:val="both"/>
        <w:rPr>
          <w:rFonts w:ascii="Calibri" w:hAnsi="Calibri"/>
          <w:sz w:val="24"/>
          <w:szCs w:val="24"/>
        </w:rPr>
      </w:pPr>
      <w:r w:rsidRPr="00B32F46">
        <w:rPr>
          <w:rFonts w:ascii="Calibri" w:hAnsi="Calibri"/>
          <w:sz w:val="24"/>
          <w:szCs w:val="24"/>
        </w:rPr>
        <w:t>E18 – Przerwanie procesu przeniesienia Numeru Katalogowego przez Biorcę</w:t>
      </w:r>
    </w:p>
    <w:p w:rsidR="0005306F" w:rsidRDefault="00B32F46" w:rsidP="00D30A28">
      <w:pPr>
        <w:pStyle w:val="Lista2"/>
        <w:numPr>
          <w:ilvl w:val="1"/>
          <w:numId w:val="4"/>
        </w:numPr>
        <w:spacing w:line="276" w:lineRule="auto"/>
        <w:jc w:val="both"/>
        <w:rPr>
          <w:rFonts w:ascii="Calibri" w:hAnsi="Calibri"/>
          <w:sz w:val="24"/>
          <w:szCs w:val="24"/>
        </w:rPr>
      </w:pPr>
      <w:r w:rsidRPr="00B32F46">
        <w:rPr>
          <w:rFonts w:ascii="Calibri" w:hAnsi="Calibri"/>
          <w:sz w:val="24"/>
          <w:szCs w:val="24"/>
        </w:rPr>
        <w:t xml:space="preserve">E23 – Zmiana Numeru </w:t>
      </w:r>
      <w:proofErr w:type="spellStart"/>
      <w:r w:rsidRPr="00B32F46">
        <w:rPr>
          <w:rFonts w:ascii="Calibri" w:hAnsi="Calibri"/>
          <w:sz w:val="24"/>
          <w:szCs w:val="24"/>
        </w:rPr>
        <w:t>Rutingowego</w:t>
      </w:r>
      <w:proofErr w:type="spellEnd"/>
      <w:r w:rsidRPr="00B32F46">
        <w:rPr>
          <w:rFonts w:ascii="Calibri" w:hAnsi="Calibri"/>
          <w:sz w:val="24"/>
          <w:szCs w:val="24"/>
        </w:rPr>
        <w:t xml:space="preserve"> w sieci Biorcy dla Numeru Przeniesionego dla danego elementu sieciowego</w:t>
      </w:r>
    </w:p>
    <w:p w:rsidR="0005306F" w:rsidRDefault="00B32F46" w:rsidP="00D30A28">
      <w:pPr>
        <w:pStyle w:val="Lista2"/>
        <w:numPr>
          <w:ilvl w:val="1"/>
          <w:numId w:val="4"/>
        </w:numPr>
        <w:spacing w:line="276" w:lineRule="auto"/>
        <w:jc w:val="both"/>
        <w:rPr>
          <w:rFonts w:ascii="Calibri" w:hAnsi="Calibri"/>
          <w:sz w:val="24"/>
          <w:szCs w:val="24"/>
        </w:rPr>
      </w:pPr>
      <w:r w:rsidRPr="00B32F46">
        <w:rPr>
          <w:rFonts w:ascii="Calibri" w:hAnsi="Calibri"/>
          <w:sz w:val="24"/>
          <w:szCs w:val="24"/>
        </w:rPr>
        <w:t>E24 – Aktualna lista odzwierciedlająca stan Numerów Katalogowych przeniesionych (KNA, aktualny Dostawca usług, aktualny Operator, RN)</w:t>
      </w:r>
    </w:p>
    <w:p w:rsidR="0005306F" w:rsidRDefault="00092C28" w:rsidP="00D30A28">
      <w:pPr>
        <w:pStyle w:val="Lista2"/>
        <w:numPr>
          <w:ilvl w:val="1"/>
          <w:numId w:val="4"/>
        </w:numPr>
        <w:spacing w:line="276" w:lineRule="auto"/>
        <w:jc w:val="both"/>
        <w:rPr>
          <w:rFonts w:ascii="Calibri" w:hAnsi="Calibri"/>
          <w:sz w:val="24"/>
          <w:szCs w:val="24"/>
        </w:rPr>
      </w:pPr>
      <w:r>
        <w:rPr>
          <w:rFonts w:ascii="Calibri" w:hAnsi="Calibri"/>
          <w:sz w:val="24"/>
          <w:szCs w:val="24"/>
        </w:rPr>
        <w:t xml:space="preserve">E29 – </w:t>
      </w:r>
      <w:r w:rsidR="00907F13" w:rsidRPr="00907F13">
        <w:rPr>
          <w:rFonts w:ascii="Calibri" w:hAnsi="Calibri"/>
          <w:sz w:val="24"/>
          <w:szCs w:val="24"/>
        </w:rPr>
        <w:t>Poinformowanie Systemu PLI CBD o zamówieniu na łączu nieaktywnym / modyfikacji Usługi Hurtowej WLR</w:t>
      </w:r>
    </w:p>
    <w:p w:rsidR="0005306F" w:rsidRDefault="00CA38E5" w:rsidP="00D30A28">
      <w:pPr>
        <w:pStyle w:val="Lista2"/>
        <w:numPr>
          <w:ilvl w:val="1"/>
          <w:numId w:val="4"/>
        </w:numPr>
        <w:spacing w:line="276" w:lineRule="auto"/>
        <w:jc w:val="both"/>
        <w:rPr>
          <w:rFonts w:ascii="Calibri" w:hAnsi="Calibri"/>
          <w:sz w:val="24"/>
          <w:szCs w:val="24"/>
        </w:rPr>
      </w:pPr>
      <w:r>
        <w:rPr>
          <w:rFonts w:ascii="Calibri" w:hAnsi="Calibri"/>
          <w:sz w:val="24"/>
          <w:szCs w:val="24"/>
        </w:rPr>
        <w:t>E30 – Udostępnienie numeru na łączu nieaktywnym</w:t>
      </w:r>
    </w:p>
    <w:p w:rsidR="0005306F" w:rsidRDefault="00CA38E5" w:rsidP="00D30A28">
      <w:pPr>
        <w:pStyle w:val="Lista2"/>
        <w:numPr>
          <w:ilvl w:val="1"/>
          <w:numId w:val="4"/>
        </w:numPr>
        <w:spacing w:line="276" w:lineRule="auto"/>
        <w:jc w:val="both"/>
        <w:rPr>
          <w:rFonts w:ascii="Calibri" w:hAnsi="Calibri"/>
          <w:sz w:val="24"/>
          <w:szCs w:val="24"/>
        </w:rPr>
      </w:pPr>
      <w:r>
        <w:rPr>
          <w:rFonts w:ascii="Calibri" w:hAnsi="Calibri"/>
          <w:sz w:val="24"/>
          <w:szCs w:val="24"/>
        </w:rPr>
        <w:t xml:space="preserve">E31 – </w:t>
      </w:r>
      <w:r w:rsidR="00907F13" w:rsidRPr="00907F13">
        <w:rPr>
          <w:rFonts w:ascii="Calibri" w:hAnsi="Calibri"/>
          <w:sz w:val="24"/>
          <w:szCs w:val="24"/>
        </w:rPr>
        <w:t>Poinformowanie Systemu PLI CBD o modyfikacji: zmiana numerów / dodanie zakresu DDI / numerów MSN</w:t>
      </w:r>
    </w:p>
    <w:p w:rsidR="0005306F" w:rsidRDefault="00CA38E5" w:rsidP="00D30A28">
      <w:pPr>
        <w:pStyle w:val="Lista2"/>
        <w:numPr>
          <w:ilvl w:val="1"/>
          <w:numId w:val="4"/>
        </w:numPr>
        <w:spacing w:line="276" w:lineRule="auto"/>
        <w:jc w:val="both"/>
        <w:rPr>
          <w:rFonts w:ascii="Calibri" w:hAnsi="Calibri"/>
          <w:sz w:val="24"/>
          <w:szCs w:val="24"/>
        </w:rPr>
      </w:pPr>
      <w:r>
        <w:rPr>
          <w:rFonts w:ascii="Calibri" w:hAnsi="Calibri"/>
          <w:sz w:val="24"/>
          <w:szCs w:val="24"/>
        </w:rPr>
        <w:t xml:space="preserve">E32 – </w:t>
      </w:r>
      <w:r w:rsidR="00A02B38">
        <w:rPr>
          <w:rFonts w:ascii="Calibri" w:hAnsi="Calibri"/>
          <w:sz w:val="24"/>
          <w:szCs w:val="24"/>
        </w:rPr>
        <w:t>Zmiana numeru (korzystanie z sieci innego PT)</w:t>
      </w:r>
    </w:p>
    <w:p w:rsidR="0005306F" w:rsidRDefault="007E4A0D" w:rsidP="00D30A28">
      <w:pPr>
        <w:pStyle w:val="Lista2"/>
        <w:numPr>
          <w:ilvl w:val="1"/>
          <w:numId w:val="4"/>
        </w:numPr>
        <w:spacing w:line="276" w:lineRule="auto"/>
        <w:jc w:val="both"/>
        <w:rPr>
          <w:rFonts w:ascii="Calibri" w:hAnsi="Calibri"/>
          <w:sz w:val="24"/>
          <w:szCs w:val="24"/>
        </w:rPr>
      </w:pPr>
      <w:r>
        <w:rPr>
          <w:rFonts w:ascii="Calibri" w:hAnsi="Calibri"/>
          <w:sz w:val="24"/>
          <w:szCs w:val="24"/>
        </w:rPr>
        <w:t xml:space="preserve">E33 - </w:t>
      </w:r>
      <w:bookmarkStart w:id="4" w:name="_Toc403765481"/>
      <w:bookmarkStart w:id="5" w:name="OLE_LINK20"/>
      <w:r w:rsidR="00907F13" w:rsidRPr="00907F13">
        <w:rPr>
          <w:rFonts w:ascii="Calibri" w:hAnsi="Calibri"/>
          <w:sz w:val="24"/>
          <w:szCs w:val="24"/>
        </w:rPr>
        <w:t>Zmiany numerów DDI / numerów MSN dla Usługi WLR ISDN na danym Łączu Abonenckim</w:t>
      </w:r>
      <w:bookmarkEnd w:id="4"/>
      <w:bookmarkEnd w:id="5"/>
    </w:p>
    <w:p w:rsidR="006050A8" w:rsidRDefault="006050A8" w:rsidP="006050A8">
      <w:pPr>
        <w:pStyle w:val="Lista2"/>
        <w:numPr>
          <w:ilvl w:val="1"/>
          <w:numId w:val="4"/>
        </w:numPr>
        <w:spacing w:line="276" w:lineRule="auto"/>
        <w:jc w:val="both"/>
        <w:rPr>
          <w:rFonts w:ascii="Calibri" w:hAnsi="Calibri"/>
          <w:sz w:val="24"/>
          <w:szCs w:val="24"/>
        </w:rPr>
      </w:pPr>
      <w:r>
        <w:rPr>
          <w:rFonts w:ascii="Calibri" w:hAnsi="Calibri"/>
          <w:sz w:val="24"/>
          <w:szCs w:val="24"/>
        </w:rPr>
        <w:t xml:space="preserve">E40 – </w:t>
      </w:r>
      <w:r w:rsidRPr="00DA25E5">
        <w:rPr>
          <w:rFonts w:ascii="Calibri" w:hAnsi="Calibri"/>
          <w:sz w:val="24"/>
          <w:szCs w:val="24"/>
        </w:rPr>
        <w:t>Zapytanie o poprawność danych dotyczących zwracanego Numeru</w:t>
      </w:r>
    </w:p>
    <w:p w:rsidR="006050A8" w:rsidRDefault="006050A8" w:rsidP="006050A8">
      <w:pPr>
        <w:pStyle w:val="Lista2"/>
        <w:numPr>
          <w:ilvl w:val="1"/>
          <w:numId w:val="4"/>
        </w:numPr>
        <w:spacing w:line="276" w:lineRule="auto"/>
        <w:jc w:val="both"/>
        <w:rPr>
          <w:rFonts w:ascii="Calibri" w:hAnsi="Calibri"/>
          <w:sz w:val="24"/>
          <w:szCs w:val="24"/>
        </w:rPr>
      </w:pPr>
      <w:r>
        <w:rPr>
          <w:rFonts w:ascii="Calibri" w:hAnsi="Calibri"/>
          <w:sz w:val="24"/>
          <w:szCs w:val="24"/>
        </w:rPr>
        <w:t xml:space="preserve">E41 - </w:t>
      </w:r>
      <w:r w:rsidRPr="00DA25E5">
        <w:rPr>
          <w:rFonts w:ascii="Calibri" w:hAnsi="Calibri"/>
          <w:sz w:val="24"/>
          <w:szCs w:val="24"/>
        </w:rPr>
        <w:t>Odpowiedź o danych dotyczących zwracanego Numeru</w:t>
      </w:r>
    </w:p>
    <w:p w:rsidR="0005306F" w:rsidRDefault="00CA38E5" w:rsidP="00D30A28">
      <w:pPr>
        <w:pStyle w:val="Lista2"/>
        <w:numPr>
          <w:ilvl w:val="1"/>
          <w:numId w:val="4"/>
        </w:numPr>
        <w:spacing w:line="276" w:lineRule="auto"/>
        <w:jc w:val="both"/>
        <w:rPr>
          <w:rFonts w:ascii="Calibri" w:hAnsi="Calibri"/>
          <w:sz w:val="24"/>
          <w:szCs w:val="24"/>
        </w:rPr>
      </w:pPr>
      <w:r>
        <w:rPr>
          <w:rFonts w:ascii="Calibri" w:hAnsi="Calibri"/>
          <w:sz w:val="24"/>
          <w:szCs w:val="24"/>
        </w:rPr>
        <w:t xml:space="preserve">X01 – </w:t>
      </w:r>
      <w:r w:rsidR="00A02B38">
        <w:rPr>
          <w:rFonts w:ascii="Calibri" w:hAnsi="Calibri"/>
          <w:sz w:val="24"/>
          <w:szCs w:val="24"/>
        </w:rPr>
        <w:t xml:space="preserve">Zgłoszenia </w:t>
      </w:r>
      <w:r>
        <w:rPr>
          <w:rFonts w:ascii="Calibri" w:hAnsi="Calibri"/>
          <w:sz w:val="24"/>
          <w:szCs w:val="24"/>
        </w:rPr>
        <w:t>związane z udostępnianymi zakresami numeracji pomiędzy PT</w:t>
      </w:r>
    </w:p>
    <w:p w:rsidR="0005306F" w:rsidRDefault="00CA38E5" w:rsidP="00D30A28">
      <w:pPr>
        <w:pStyle w:val="Lista2"/>
        <w:numPr>
          <w:ilvl w:val="1"/>
          <w:numId w:val="4"/>
        </w:numPr>
        <w:spacing w:line="276" w:lineRule="auto"/>
        <w:jc w:val="both"/>
        <w:rPr>
          <w:rFonts w:ascii="Calibri" w:hAnsi="Calibri"/>
          <w:sz w:val="24"/>
          <w:szCs w:val="24"/>
        </w:rPr>
      </w:pPr>
      <w:r>
        <w:rPr>
          <w:rFonts w:ascii="Calibri" w:hAnsi="Calibri"/>
          <w:sz w:val="24"/>
          <w:szCs w:val="24"/>
        </w:rPr>
        <w:t xml:space="preserve">X02 – </w:t>
      </w:r>
      <w:r w:rsidR="00A02B38">
        <w:rPr>
          <w:rFonts w:ascii="Calibri" w:hAnsi="Calibri"/>
          <w:sz w:val="24"/>
          <w:szCs w:val="24"/>
        </w:rPr>
        <w:t xml:space="preserve">Odpowiedz </w:t>
      </w:r>
      <w:r>
        <w:rPr>
          <w:rFonts w:ascii="Calibri" w:hAnsi="Calibri"/>
          <w:sz w:val="24"/>
          <w:szCs w:val="24"/>
        </w:rPr>
        <w:t>w zakresie zgłoszenia o numeracji udostępnianej pomiędzy PT</w:t>
      </w:r>
    </w:p>
    <w:p w:rsidR="0005306F" w:rsidRDefault="00995FC9" w:rsidP="00D30A28">
      <w:pPr>
        <w:pStyle w:val="Lista2"/>
        <w:numPr>
          <w:ilvl w:val="1"/>
          <w:numId w:val="4"/>
        </w:numPr>
        <w:spacing w:line="276" w:lineRule="auto"/>
        <w:jc w:val="both"/>
        <w:rPr>
          <w:rFonts w:ascii="Calibri" w:hAnsi="Calibri"/>
          <w:sz w:val="24"/>
          <w:szCs w:val="24"/>
        </w:rPr>
      </w:pPr>
      <w:r>
        <w:rPr>
          <w:rFonts w:ascii="Calibri" w:hAnsi="Calibri"/>
          <w:sz w:val="24"/>
          <w:szCs w:val="24"/>
        </w:rPr>
        <w:t>X</w:t>
      </w:r>
      <w:r w:rsidRPr="00B32F46">
        <w:rPr>
          <w:rFonts w:ascii="Calibri" w:hAnsi="Calibri"/>
          <w:sz w:val="24"/>
          <w:szCs w:val="24"/>
        </w:rPr>
        <w:t>15 – Informacja o modyfikacjach w zakresach przydzielonej numeracji</w:t>
      </w:r>
    </w:p>
    <w:p w:rsidR="0005306F" w:rsidRDefault="00995FC9" w:rsidP="00D30A28">
      <w:pPr>
        <w:pStyle w:val="Lista2"/>
        <w:numPr>
          <w:ilvl w:val="1"/>
          <w:numId w:val="4"/>
        </w:numPr>
        <w:spacing w:line="276" w:lineRule="auto"/>
        <w:jc w:val="both"/>
        <w:rPr>
          <w:rFonts w:ascii="Calibri" w:hAnsi="Calibri"/>
          <w:sz w:val="24"/>
          <w:szCs w:val="24"/>
        </w:rPr>
      </w:pPr>
      <w:r>
        <w:rPr>
          <w:rFonts w:ascii="Calibri" w:hAnsi="Calibri"/>
          <w:sz w:val="24"/>
          <w:szCs w:val="24"/>
        </w:rPr>
        <w:t xml:space="preserve">X25 – Aktualna lista: przydzielonych przez UKE zakresów numeracji poszczególnym PT oraz udostępnianych pomiędzy PT na podstawie umowy </w:t>
      </w:r>
      <w:r w:rsidR="005575FA">
        <w:rPr>
          <w:rFonts w:ascii="Calibri" w:hAnsi="Calibri"/>
          <w:sz w:val="24"/>
          <w:szCs w:val="24"/>
        </w:rPr>
        <w:t>o udostępnieniu numeracji.</w:t>
      </w:r>
    </w:p>
    <w:p w:rsidR="001235D5" w:rsidRPr="001235D5" w:rsidRDefault="001235D5" w:rsidP="001235D5">
      <w:pPr>
        <w:pStyle w:val="Lista2"/>
        <w:numPr>
          <w:ilvl w:val="0"/>
          <w:numId w:val="4"/>
        </w:numPr>
        <w:spacing w:line="276" w:lineRule="auto"/>
        <w:jc w:val="both"/>
        <w:rPr>
          <w:rFonts w:ascii="Calibri" w:hAnsi="Calibri" w:cs="Arial"/>
          <w:sz w:val="24"/>
          <w:szCs w:val="24"/>
        </w:rPr>
      </w:pPr>
      <w:r w:rsidRPr="001235D5">
        <w:rPr>
          <w:rFonts w:ascii="Calibri" w:hAnsi="Calibri" w:cs="Arial"/>
          <w:b/>
          <w:bCs/>
          <w:sz w:val="24"/>
          <w:szCs w:val="24"/>
        </w:rPr>
        <w:t xml:space="preserve">Lokal </w:t>
      </w:r>
      <w:r w:rsidRPr="001235D5">
        <w:rPr>
          <w:rFonts w:ascii="Calibri" w:hAnsi="Calibri" w:cs="Arial"/>
          <w:sz w:val="24"/>
          <w:szCs w:val="24"/>
        </w:rPr>
        <w:t>– miejsce wskazane przez Abonenta, w którym jest lub ma być świadczona Usługa Abonencka.</w:t>
      </w:r>
    </w:p>
    <w:p w:rsidR="004567BF" w:rsidRPr="004F057F" w:rsidRDefault="004567BF" w:rsidP="00F02BFE">
      <w:pPr>
        <w:pStyle w:val="Lista2"/>
        <w:numPr>
          <w:ilvl w:val="0"/>
          <w:numId w:val="4"/>
        </w:numPr>
        <w:spacing w:line="276" w:lineRule="auto"/>
        <w:jc w:val="both"/>
        <w:rPr>
          <w:rFonts w:ascii="Calibri" w:hAnsi="Calibri"/>
          <w:sz w:val="24"/>
          <w:szCs w:val="24"/>
        </w:rPr>
      </w:pPr>
      <w:r w:rsidRPr="004F057F">
        <w:rPr>
          <w:rFonts w:ascii="Calibri" w:hAnsi="Calibri"/>
          <w:b/>
          <w:sz w:val="24"/>
          <w:szCs w:val="24"/>
        </w:rPr>
        <w:t xml:space="preserve">Lokalna </w:t>
      </w:r>
      <w:proofErr w:type="spellStart"/>
      <w:r w:rsidRPr="004F057F">
        <w:rPr>
          <w:rFonts w:ascii="Calibri" w:hAnsi="Calibri"/>
          <w:b/>
          <w:sz w:val="24"/>
          <w:szCs w:val="24"/>
        </w:rPr>
        <w:t>Podpętla</w:t>
      </w:r>
      <w:proofErr w:type="spellEnd"/>
      <w:r w:rsidRPr="004F057F">
        <w:rPr>
          <w:rFonts w:ascii="Calibri" w:hAnsi="Calibri"/>
          <w:b/>
          <w:sz w:val="24"/>
          <w:szCs w:val="24"/>
        </w:rPr>
        <w:t xml:space="preserve"> Abonencka (LPPA)</w:t>
      </w:r>
      <w:r w:rsidRPr="004F057F">
        <w:rPr>
          <w:rFonts w:ascii="Calibri" w:hAnsi="Calibri"/>
          <w:sz w:val="24"/>
          <w:szCs w:val="24"/>
        </w:rPr>
        <w:t xml:space="preserve"> – fragment Łącza Abonenckiego łączący zakończenie sieci z Pośrednim Punktem Dostępowym, w szczególności z szafką kablową, koncentratorem lub innym urządzeniem stanowiącym punkt dostępu pośredniego </w:t>
      </w:r>
      <w:r w:rsidR="00573D0F" w:rsidRPr="004F057F">
        <w:rPr>
          <w:rFonts w:ascii="Calibri" w:hAnsi="Calibri"/>
          <w:sz w:val="24"/>
          <w:szCs w:val="24"/>
        </w:rPr>
        <w:t xml:space="preserve">do </w:t>
      </w:r>
      <w:r w:rsidR="00A12AAC">
        <w:rPr>
          <w:rFonts w:ascii="Calibri" w:hAnsi="Calibri"/>
          <w:sz w:val="24"/>
          <w:szCs w:val="24"/>
        </w:rPr>
        <w:t>Operatora Infrastrukturalnego</w:t>
      </w:r>
      <w:r w:rsidRPr="004F057F">
        <w:rPr>
          <w:rFonts w:ascii="Calibri" w:hAnsi="Calibri"/>
          <w:sz w:val="24"/>
          <w:szCs w:val="24"/>
        </w:rPr>
        <w:t>.</w:t>
      </w:r>
    </w:p>
    <w:p w:rsidR="004567BF" w:rsidRPr="004F057F" w:rsidRDefault="004567BF" w:rsidP="00F02BFE">
      <w:pPr>
        <w:pStyle w:val="Lista2"/>
        <w:numPr>
          <w:ilvl w:val="0"/>
          <w:numId w:val="4"/>
        </w:numPr>
        <w:spacing w:line="276" w:lineRule="auto"/>
        <w:jc w:val="both"/>
        <w:rPr>
          <w:rFonts w:ascii="Calibri" w:hAnsi="Calibri"/>
          <w:sz w:val="24"/>
          <w:szCs w:val="24"/>
        </w:rPr>
      </w:pPr>
      <w:r w:rsidRPr="004F057F">
        <w:rPr>
          <w:rFonts w:ascii="Calibri" w:hAnsi="Calibri"/>
          <w:b/>
          <w:sz w:val="24"/>
          <w:szCs w:val="24"/>
        </w:rPr>
        <w:t xml:space="preserve">Łącze Abonenckie </w:t>
      </w:r>
      <w:r w:rsidRPr="004F057F">
        <w:rPr>
          <w:rFonts w:ascii="Calibri" w:hAnsi="Calibri"/>
          <w:sz w:val="24"/>
          <w:szCs w:val="24"/>
        </w:rPr>
        <w:t xml:space="preserve">– obwód składający się z odcinków sieci magistralnej </w:t>
      </w:r>
      <w:r w:rsidRPr="004F057F">
        <w:rPr>
          <w:rFonts w:ascii="Calibri" w:hAnsi="Calibri"/>
          <w:sz w:val="24"/>
          <w:szCs w:val="24"/>
        </w:rPr>
        <w:br/>
        <w:t>i rozdzielczej oraz Przyłącza Abonenckiego albo bez Przyłącza Abonenckiego, łączący Zakończenie sieci bezpośrednio z punktem dostępu do stacjonarnej publicznej sieci telekomunikacyjnej w szczególności z PG lub równoważnym urządzeniem</w:t>
      </w:r>
      <w:r w:rsidRPr="004F057F">
        <w:rPr>
          <w:rFonts w:ascii="Calibri" w:hAnsi="Calibri"/>
          <w:b/>
          <w:sz w:val="24"/>
          <w:szCs w:val="24"/>
        </w:rPr>
        <w:t xml:space="preserve"> </w:t>
      </w:r>
      <w:r w:rsidRPr="004F057F">
        <w:rPr>
          <w:rFonts w:ascii="Calibri" w:hAnsi="Calibri"/>
          <w:sz w:val="24"/>
          <w:szCs w:val="24"/>
        </w:rPr>
        <w:t>stan</w:t>
      </w:r>
      <w:r w:rsidR="00573D0F" w:rsidRPr="004F057F">
        <w:rPr>
          <w:rFonts w:ascii="Calibri" w:hAnsi="Calibri"/>
          <w:sz w:val="24"/>
          <w:szCs w:val="24"/>
        </w:rPr>
        <w:t xml:space="preserve">owiącym punkt dostępu do </w:t>
      </w:r>
      <w:r w:rsidR="00A12AAC">
        <w:rPr>
          <w:rFonts w:ascii="Calibri" w:hAnsi="Calibri"/>
          <w:sz w:val="24"/>
          <w:szCs w:val="24"/>
        </w:rPr>
        <w:t>Operatora Infrastrukturalnego</w:t>
      </w:r>
      <w:r w:rsidRPr="004F057F">
        <w:rPr>
          <w:rFonts w:ascii="Calibri" w:hAnsi="Calibri"/>
          <w:sz w:val="24"/>
          <w:szCs w:val="24"/>
        </w:rPr>
        <w:t>. Wyróżniamy Łącze Abonenckie Aktywne i Łącze Abonenckie Nieaktywne.</w:t>
      </w:r>
    </w:p>
    <w:p w:rsidR="001235D5" w:rsidRPr="001235D5" w:rsidRDefault="001235D5" w:rsidP="001235D5">
      <w:pPr>
        <w:pStyle w:val="Lista2"/>
        <w:numPr>
          <w:ilvl w:val="0"/>
          <w:numId w:val="4"/>
        </w:numPr>
        <w:spacing w:line="276" w:lineRule="auto"/>
        <w:jc w:val="both"/>
        <w:rPr>
          <w:rFonts w:ascii="Calibri" w:hAnsi="Calibri" w:cs="Arial"/>
          <w:sz w:val="24"/>
          <w:szCs w:val="24"/>
        </w:rPr>
      </w:pPr>
      <w:r w:rsidRPr="001235D5">
        <w:rPr>
          <w:rFonts w:ascii="Calibri" w:hAnsi="Calibri" w:cs="Arial"/>
          <w:b/>
          <w:bCs/>
          <w:sz w:val="24"/>
          <w:szCs w:val="24"/>
        </w:rPr>
        <w:t xml:space="preserve">Łącze Abonenckie Aktywne </w:t>
      </w:r>
      <w:r>
        <w:rPr>
          <w:rFonts w:ascii="Calibri" w:hAnsi="Calibri" w:cs="Arial"/>
          <w:b/>
          <w:bCs/>
          <w:sz w:val="24"/>
          <w:szCs w:val="24"/>
        </w:rPr>
        <w:t>(ŁAA)</w:t>
      </w:r>
      <w:r w:rsidR="005575FA">
        <w:rPr>
          <w:rFonts w:ascii="Calibri" w:hAnsi="Calibri" w:cs="Arial"/>
          <w:b/>
          <w:bCs/>
          <w:sz w:val="24"/>
          <w:szCs w:val="24"/>
        </w:rPr>
        <w:t xml:space="preserve"> </w:t>
      </w:r>
      <w:r w:rsidRPr="001235D5">
        <w:rPr>
          <w:rFonts w:ascii="Calibri" w:hAnsi="Calibri" w:cs="Arial"/>
          <w:sz w:val="24"/>
          <w:szCs w:val="24"/>
        </w:rPr>
        <w:t>- obwód składający się z istniejących odcinków sieci magistralnej, rozdzielczej i Przyłącza Abonenckiego</w:t>
      </w:r>
      <w:r w:rsidR="00690B5D">
        <w:rPr>
          <w:rFonts w:ascii="Calibri" w:hAnsi="Calibri" w:cs="Arial"/>
          <w:sz w:val="24"/>
          <w:szCs w:val="24"/>
        </w:rPr>
        <w:t>,</w:t>
      </w:r>
      <w:r w:rsidRPr="001235D5">
        <w:rPr>
          <w:rFonts w:ascii="Calibri" w:hAnsi="Calibri" w:cs="Arial"/>
          <w:sz w:val="24"/>
          <w:szCs w:val="24"/>
        </w:rPr>
        <w:t xml:space="preserve"> łączący gniazdko telefoniczne abonenta lub głowice/słupek/ skrzynkę kablową </w:t>
      </w:r>
      <w:r w:rsidR="00A12AAC">
        <w:rPr>
          <w:rFonts w:ascii="Calibri" w:hAnsi="Calibri"/>
          <w:sz w:val="24"/>
          <w:szCs w:val="24"/>
        </w:rPr>
        <w:t>Operatora Infrastrukturalnego</w:t>
      </w:r>
      <w:r w:rsidRPr="001235D5">
        <w:rPr>
          <w:rFonts w:ascii="Calibri" w:hAnsi="Calibri" w:cs="Arial"/>
          <w:sz w:val="24"/>
          <w:szCs w:val="24"/>
        </w:rPr>
        <w:t xml:space="preserve">, bezpośrednio z punktem dostępu do stacjonarnej publicznej sieci telefonicznej, w szczególności z Przełącznicą Główną lub urządzeniem równoważnym stanowiącym punkt dostępu do stacjonarnej publicznej sieci telefonicznej </w:t>
      </w:r>
      <w:r w:rsidR="005575FA">
        <w:rPr>
          <w:rFonts w:ascii="Calibri" w:hAnsi="Calibri" w:cs="Arial"/>
          <w:sz w:val="24"/>
          <w:szCs w:val="24"/>
        </w:rPr>
        <w:t>Operatora Infrastrukturalnego</w:t>
      </w:r>
      <w:r w:rsidR="00B83960">
        <w:rPr>
          <w:rFonts w:ascii="Calibri" w:hAnsi="Calibri" w:cs="Arial"/>
          <w:sz w:val="24"/>
          <w:szCs w:val="24"/>
        </w:rPr>
        <w:t xml:space="preserve">; </w:t>
      </w:r>
      <w:r w:rsidR="00B83960" w:rsidRPr="00026F32">
        <w:rPr>
          <w:rFonts w:ascii="Calibri" w:hAnsi="Calibri" w:cs="Arial"/>
          <w:sz w:val="24"/>
          <w:szCs w:val="24"/>
        </w:rPr>
        <w:t>jest to łącze na którym świadczona jest usługa z przydzielonym numerem KNA</w:t>
      </w:r>
      <w:r w:rsidRPr="001235D5">
        <w:rPr>
          <w:rFonts w:ascii="Calibri" w:hAnsi="Calibri" w:cs="Arial"/>
          <w:sz w:val="24"/>
          <w:szCs w:val="24"/>
        </w:rPr>
        <w:t>.</w:t>
      </w:r>
    </w:p>
    <w:p w:rsidR="004567BF" w:rsidRPr="004F057F" w:rsidRDefault="004567BF" w:rsidP="00F02BFE">
      <w:pPr>
        <w:pStyle w:val="Lista2"/>
        <w:numPr>
          <w:ilvl w:val="0"/>
          <w:numId w:val="4"/>
        </w:numPr>
        <w:spacing w:line="276" w:lineRule="auto"/>
        <w:jc w:val="both"/>
        <w:rPr>
          <w:rFonts w:ascii="Calibri" w:hAnsi="Calibri"/>
          <w:sz w:val="24"/>
          <w:szCs w:val="24"/>
        </w:rPr>
      </w:pPr>
      <w:r w:rsidRPr="004F057F">
        <w:rPr>
          <w:rFonts w:ascii="Calibri" w:hAnsi="Calibri"/>
          <w:b/>
          <w:sz w:val="24"/>
          <w:szCs w:val="24"/>
        </w:rPr>
        <w:t>Łącze Abonenckie Nieaktywne (ŁAN)</w:t>
      </w:r>
      <w:r w:rsidRPr="004F057F">
        <w:rPr>
          <w:rFonts w:ascii="Calibri" w:hAnsi="Calibri"/>
          <w:sz w:val="24"/>
          <w:szCs w:val="24"/>
        </w:rPr>
        <w:t xml:space="preserve"> – Łącze Abonenckie, na którym </w:t>
      </w:r>
      <w:r w:rsidR="00A12AAC">
        <w:rPr>
          <w:rFonts w:ascii="Calibri" w:hAnsi="Calibri"/>
          <w:sz w:val="24"/>
          <w:szCs w:val="24"/>
        </w:rPr>
        <w:t xml:space="preserve">Operator </w:t>
      </w:r>
      <w:r w:rsidR="00E24172">
        <w:rPr>
          <w:rFonts w:ascii="Calibri" w:hAnsi="Calibri"/>
          <w:sz w:val="24"/>
          <w:szCs w:val="24"/>
        </w:rPr>
        <w:t>Infrastrukturalny</w:t>
      </w:r>
      <w:r w:rsidR="00E24172" w:rsidRPr="004F057F">
        <w:rPr>
          <w:rFonts w:ascii="Calibri" w:hAnsi="Calibri"/>
          <w:sz w:val="24"/>
          <w:szCs w:val="24"/>
        </w:rPr>
        <w:t xml:space="preserve"> </w:t>
      </w:r>
      <w:r w:rsidRPr="004F057F">
        <w:rPr>
          <w:rFonts w:ascii="Calibri" w:hAnsi="Calibri"/>
          <w:sz w:val="24"/>
          <w:szCs w:val="24"/>
        </w:rPr>
        <w:t>nie świadczy Usług Abonenckich lub Usług Regulowanych wraz z oznaczeniem czy dane łącze posiada Przyłącze Abonenckie lub nie posiada Przyłącza Abonenckiego.</w:t>
      </w:r>
    </w:p>
    <w:p w:rsidR="00082560" w:rsidRDefault="00082560" w:rsidP="00082560">
      <w:pPr>
        <w:numPr>
          <w:ilvl w:val="0"/>
          <w:numId w:val="4"/>
        </w:numPr>
        <w:spacing w:line="276" w:lineRule="auto"/>
        <w:rPr>
          <w:rFonts w:ascii="Calibri" w:hAnsi="Calibri" w:cs="Times New Roman"/>
          <w:sz w:val="24"/>
          <w:szCs w:val="24"/>
          <w:lang w:eastAsia="pl-PL"/>
        </w:rPr>
      </w:pPr>
      <w:proofErr w:type="spellStart"/>
      <w:r w:rsidRPr="00082560">
        <w:rPr>
          <w:rFonts w:ascii="Calibri" w:hAnsi="Calibri" w:cs="Times New Roman"/>
          <w:b/>
          <w:sz w:val="24"/>
          <w:szCs w:val="24"/>
          <w:lang w:eastAsia="pl-PL"/>
        </w:rPr>
        <w:t>MAiC</w:t>
      </w:r>
      <w:proofErr w:type="spellEnd"/>
      <w:r w:rsidRPr="00082560">
        <w:rPr>
          <w:rFonts w:ascii="Calibri" w:hAnsi="Calibri" w:cs="Times New Roman"/>
          <w:sz w:val="24"/>
          <w:szCs w:val="24"/>
          <w:lang w:eastAsia="pl-PL"/>
        </w:rPr>
        <w:t xml:space="preserve"> – Minister Administracji i Cyfryzacji. </w:t>
      </w:r>
    </w:p>
    <w:p w:rsidR="00B0054F" w:rsidRDefault="00082560" w:rsidP="009C1905">
      <w:pPr>
        <w:numPr>
          <w:ilvl w:val="0"/>
          <w:numId w:val="4"/>
        </w:numPr>
        <w:spacing w:line="276" w:lineRule="auto"/>
        <w:rPr>
          <w:rFonts w:ascii="Calibri" w:hAnsi="Calibri" w:cs="Times New Roman"/>
          <w:sz w:val="24"/>
          <w:szCs w:val="24"/>
          <w:lang w:eastAsia="pl-PL"/>
        </w:rPr>
      </w:pPr>
      <w:r w:rsidRPr="00764E86">
        <w:rPr>
          <w:rFonts w:ascii="Calibri" w:hAnsi="Calibri" w:cs="Times New Roman"/>
          <w:b/>
          <w:sz w:val="24"/>
          <w:szCs w:val="24"/>
          <w:lang w:eastAsia="pl-PL"/>
        </w:rPr>
        <w:t>MNP</w:t>
      </w:r>
      <w:r w:rsidRPr="00764E86">
        <w:rPr>
          <w:rFonts w:ascii="Calibri" w:hAnsi="Calibri" w:cs="Times New Roman"/>
          <w:sz w:val="24"/>
          <w:szCs w:val="24"/>
          <w:lang w:eastAsia="pl-PL"/>
        </w:rPr>
        <w:t xml:space="preserve"> - (ang.</w:t>
      </w:r>
      <w:r w:rsidR="00264317" w:rsidRPr="00764E86">
        <w:rPr>
          <w:rFonts w:ascii="Calibri" w:hAnsi="Calibri" w:cs="Times New Roman"/>
          <w:sz w:val="24"/>
          <w:szCs w:val="24"/>
          <w:lang w:eastAsia="pl-PL"/>
        </w:rPr>
        <w:t xml:space="preserve"> Mobile </w:t>
      </w:r>
      <w:proofErr w:type="spellStart"/>
      <w:r w:rsidR="00264317" w:rsidRPr="00764E86">
        <w:rPr>
          <w:rFonts w:ascii="Calibri" w:hAnsi="Calibri" w:cs="Times New Roman"/>
          <w:sz w:val="24"/>
          <w:szCs w:val="24"/>
          <w:lang w:eastAsia="pl-PL"/>
        </w:rPr>
        <w:t>Number</w:t>
      </w:r>
      <w:proofErr w:type="spellEnd"/>
      <w:r w:rsidR="00264317" w:rsidRPr="00764E86">
        <w:rPr>
          <w:rFonts w:ascii="Calibri" w:hAnsi="Calibri" w:cs="Times New Roman"/>
          <w:sz w:val="24"/>
          <w:szCs w:val="24"/>
          <w:lang w:eastAsia="pl-PL"/>
        </w:rPr>
        <w:t xml:space="preserve"> </w:t>
      </w:r>
      <w:proofErr w:type="spellStart"/>
      <w:r w:rsidR="00264317" w:rsidRPr="00764E86">
        <w:rPr>
          <w:rFonts w:ascii="Calibri" w:hAnsi="Calibri" w:cs="Times New Roman"/>
          <w:sz w:val="24"/>
          <w:szCs w:val="24"/>
          <w:lang w:eastAsia="pl-PL"/>
        </w:rPr>
        <w:t>Portability</w:t>
      </w:r>
      <w:proofErr w:type="spellEnd"/>
      <w:r w:rsidRPr="00764E86">
        <w:rPr>
          <w:rFonts w:ascii="Calibri" w:hAnsi="Calibri" w:cs="Times New Roman"/>
          <w:sz w:val="24"/>
          <w:szCs w:val="24"/>
          <w:lang w:eastAsia="pl-PL"/>
        </w:rPr>
        <w:t xml:space="preserve">) </w:t>
      </w:r>
      <w:r w:rsidR="00764E86" w:rsidRPr="00082560">
        <w:rPr>
          <w:rFonts w:ascii="Calibri" w:hAnsi="Calibri" w:cs="Times New Roman"/>
          <w:sz w:val="24"/>
          <w:szCs w:val="24"/>
          <w:lang w:eastAsia="pl-PL"/>
        </w:rPr>
        <w:t xml:space="preserve">usługa NP realizowana przez </w:t>
      </w:r>
      <w:r w:rsidR="00B0054F">
        <w:rPr>
          <w:rFonts w:ascii="Calibri" w:hAnsi="Calibri" w:cs="Times New Roman"/>
          <w:sz w:val="24"/>
          <w:szCs w:val="24"/>
          <w:lang w:eastAsia="pl-PL"/>
        </w:rPr>
        <w:t>D</w:t>
      </w:r>
      <w:r w:rsidR="00764E86" w:rsidRPr="00082560">
        <w:rPr>
          <w:rFonts w:ascii="Calibri" w:hAnsi="Calibri" w:cs="Times New Roman"/>
          <w:sz w:val="24"/>
          <w:szCs w:val="24"/>
          <w:lang w:eastAsia="pl-PL"/>
        </w:rPr>
        <w:t xml:space="preserve">ostawców usług </w:t>
      </w:r>
      <w:r w:rsidR="00764E86">
        <w:rPr>
          <w:rFonts w:ascii="Calibri" w:hAnsi="Calibri" w:cs="Times New Roman"/>
          <w:sz w:val="24"/>
          <w:szCs w:val="24"/>
          <w:lang w:eastAsia="pl-PL"/>
        </w:rPr>
        <w:t xml:space="preserve">z wykorzystaniem numeracji </w:t>
      </w:r>
      <w:proofErr w:type="spellStart"/>
      <w:r w:rsidR="00764E86">
        <w:rPr>
          <w:rFonts w:ascii="Calibri" w:hAnsi="Calibri" w:cs="Times New Roman"/>
          <w:sz w:val="24"/>
          <w:szCs w:val="24"/>
          <w:lang w:eastAsia="pl-PL"/>
        </w:rPr>
        <w:t>niegeograficznej</w:t>
      </w:r>
      <w:proofErr w:type="spellEnd"/>
      <w:r w:rsidR="00764E86">
        <w:rPr>
          <w:rFonts w:ascii="Calibri" w:hAnsi="Calibri" w:cs="Times New Roman"/>
          <w:sz w:val="24"/>
          <w:szCs w:val="24"/>
          <w:lang w:eastAsia="pl-PL"/>
        </w:rPr>
        <w:t xml:space="preserve"> w sieciach ruchomych</w:t>
      </w:r>
      <w:r w:rsidR="00B0054F">
        <w:rPr>
          <w:rFonts w:ascii="Calibri" w:hAnsi="Calibri" w:cs="Times New Roman"/>
          <w:sz w:val="24"/>
          <w:szCs w:val="24"/>
          <w:lang w:eastAsia="pl-PL"/>
        </w:rPr>
        <w:t xml:space="preserve">, </w:t>
      </w:r>
      <w:r w:rsidR="00764E86">
        <w:rPr>
          <w:rFonts w:ascii="Calibri" w:hAnsi="Calibri" w:cs="Times New Roman"/>
          <w:sz w:val="24"/>
          <w:szCs w:val="24"/>
          <w:lang w:eastAsia="pl-PL"/>
        </w:rPr>
        <w:t>zgodnie z Planem Numeracji Krajowej</w:t>
      </w:r>
      <w:r w:rsidR="00764E86" w:rsidRPr="00082560">
        <w:rPr>
          <w:rFonts w:ascii="Calibri" w:hAnsi="Calibri" w:cs="Times New Roman"/>
          <w:sz w:val="24"/>
          <w:szCs w:val="24"/>
          <w:lang w:eastAsia="pl-PL"/>
        </w:rPr>
        <w:t>.</w:t>
      </w:r>
    </w:p>
    <w:p w:rsidR="001235D5" w:rsidRPr="00764E86" w:rsidRDefault="001235D5" w:rsidP="009C1905">
      <w:pPr>
        <w:numPr>
          <w:ilvl w:val="0"/>
          <w:numId w:val="4"/>
        </w:numPr>
        <w:spacing w:line="276" w:lineRule="auto"/>
        <w:rPr>
          <w:rFonts w:ascii="Calibri" w:hAnsi="Calibri" w:cs="Arial"/>
          <w:sz w:val="24"/>
          <w:szCs w:val="24"/>
        </w:rPr>
      </w:pPr>
      <w:r w:rsidRPr="00764E86">
        <w:rPr>
          <w:rFonts w:ascii="Calibri" w:hAnsi="Calibri" w:cs="Arial"/>
          <w:b/>
          <w:bCs/>
          <w:sz w:val="24"/>
          <w:szCs w:val="24"/>
        </w:rPr>
        <w:t>MRP –</w:t>
      </w:r>
      <w:r w:rsidRPr="00764E86">
        <w:rPr>
          <w:rFonts w:ascii="Calibri" w:hAnsi="Calibri" w:cs="Arial"/>
          <w:sz w:val="24"/>
          <w:szCs w:val="24"/>
        </w:rPr>
        <w:t xml:space="preserve"> Model</w:t>
      </w:r>
      <w:r w:rsidRPr="00764E86">
        <w:rPr>
          <w:rFonts w:ascii="Calibri" w:hAnsi="Calibri" w:cs="Arial"/>
          <w:b/>
          <w:sz w:val="24"/>
          <w:szCs w:val="24"/>
        </w:rPr>
        <w:t xml:space="preserve"> </w:t>
      </w:r>
      <w:r w:rsidRPr="00764E86">
        <w:rPr>
          <w:rFonts w:ascii="Calibri" w:hAnsi="Calibri" w:cs="Arial"/>
          <w:sz w:val="24"/>
          <w:szCs w:val="24"/>
        </w:rPr>
        <w:t>Realizacji Procesów</w:t>
      </w:r>
      <w:r w:rsidR="00844E40" w:rsidRPr="00764E86">
        <w:rPr>
          <w:rFonts w:ascii="Calibri" w:hAnsi="Calibri" w:cs="Arial"/>
          <w:sz w:val="24"/>
          <w:szCs w:val="24"/>
        </w:rPr>
        <w:t>.</w:t>
      </w:r>
      <w:r w:rsidRPr="00764E86">
        <w:rPr>
          <w:rFonts w:ascii="Calibri" w:hAnsi="Calibri" w:cs="Arial"/>
          <w:sz w:val="24"/>
          <w:szCs w:val="24"/>
        </w:rPr>
        <w:t xml:space="preserve"> </w:t>
      </w:r>
    </w:p>
    <w:p w:rsidR="001235D5" w:rsidRDefault="001235D5" w:rsidP="001235D5">
      <w:pPr>
        <w:pStyle w:val="Lista2"/>
        <w:numPr>
          <w:ilvl w:val="0"/>
          <w:numId w:val="4"/>
        </w:numPr>
        <w:spacing w:line="276" w:lineRule="auto"/>
        <w:jc w:val="both"/>
        <w:rPr>
          <w:rFonts w:ascii="Calibri" w:hAnsi="Calibri" w:cs="Arial"/>
          <w:sz w:val="24"/>
          <w:szCs w:val="24"/>
        </w:rPr>
      </w:pPr>
      <w:r w:rsidRPr="001235D5">
        <w:rPr>
          <w:rFonts w:ascii="Calibri" w:hAnsi="Calibri" w:cs="Arial"/>
          <w:b/>
          <w:sz w:val="24"/>
          <w:szCs w:val="24"/>
        </w:rPr>
        <w:t xml:space="preserve">MWD – </w:t>
      </w:r>
      <w:r w:rsidRPr="001235D5">
        <w:rPr>
          <w:rFonts w:ascii="Calibri" w:hAnsi="Calibri" w:cs="Arial"/>
          <w:sz w:val="24"/>
          <w:szCs w:val="24"/>
        </w:rPr>
        <w:t>Model Wymiany Danych</w:t>
      </w:r>
      <w:r w:rsidR="00690B5D">
        <w:rPr>
          <w:rFonts w:ascii="Calibri" w:hAnsi="Calibri" w:cs="Arial"/>
          <w:sz w:val="24"/>
          <w:szCs w:val="24"/>
        </w:rPr>
        <w:t>;</w:t>
      </w:r>
      <w:r w:rsidR="005575FA">
        <w:rPr>
          <w:rFonts w:ascii="Calibri" w:hAnsi="Calibri" w:cs="Arial"/>
          <w:sz w:val="24"/>
          <w:szCs w:val="24"/>
        </w:rPr>
        <w:t xml:space="preserve"> </w:t>
      </w:r>
      <w:r w:rsidR="00746F85">
        <w:rPr>
          <w:rFonts w:ascii="Calibri" w:hAnsi="Calibri" w:cs="Arial"/>
          <w:sz w:val="24"/>
          <w:szCs w:val="24"/>
        </w:rPr>
        <w:t>d</w:t>
      </w:r>
      <w:r w:rsidRPr="001235D5">
        <w:rPr>
          <w:rFonts w:ascii="Calibri" w:hAnsi="Calibri" w:cs="Arial"/>
          <w:sz w:val="24"/>
          <w:szCs w:val="24"/>
        </w:rPr>
        <w:t>okument opisujący zasady komunikacji</w:t>
      </w:r>
      <w:r w:rsidR="00844E40">
        <w:rPr>
          <w:rFonts w:ascii="Calibri" w:hAnsi="Calibri" w:cs="Arial"/>
          <w:sz w:val="24"/>
          <w:szCs w:val="24"/>
        </w:rPr>
        <w:t>.</w:t>
      </w:r>
    </w:p>
    <w:p w:rsidR="00082560" w:rsidRPr="00082560" w:rsidRDefault="00082560" w:rsidP="00082560">
      <w:pPr>
        <w:numPr>
          <w:ilvl w:val="0"/>
          <w:numId w:val="4"/>
        </w:numPr>
        <w:spacing w:line="276" w:lineRule="auto"/>
        <w:rPr>
          <w:rFonts w:ascii="Calibri" w:hAnsi="Calibri" w:cs="Times New Roman"/>
          <w:sz w:val="24"/>
          <w:szCs w:val="24"/>
          <w:lang w:eastAsia="pl-PL"/>
        </w:rPr>
      </w:pPr>
      <w:r w:rsidRPr="00082560">
        <w:rPr>
          <w:rFonts w:ascii="Calibri" w:hAnsi="Calibri" w:cs="Times New Roman"/>
          <w:b/>
          <w:sz w:val="24"/>
          <w:szCs w:val="24"/>
          <w:lang w:eastAsia="pl-PL"/>
        </w:rPr>
        <w:t xml:space="preserve">MWM </w:t>
      </w:r>
      <w:r w:rsidRPr="00082560">
        <w:rPr>
          <w:rFonts w:ascii="Calibri" w:hAnsi="Calibri" w:cs="Times New Roman"/>
          <w:sz w:val="24"/>
          <w:szCs w:val="24"/>
          <w:lang w:eastAsia="pl-PL"/>
        </w:rPr>
        <w:t>lub</w:t>
      </w:r>
      <w:r w:rsidRPr="00082560">
        <w:rPr>
          <w:rFonts w:ascii="Calibri" w:hAnsi="Calibri" w:cs="Times New Roman"/>
          <w:b/>
          <w:sz w:val="24"/>
          <w:szCs w:val="24"/>
          <w:lang w:eastAsia="pl-PL"/>
        </w:rPr>
        <w:t xml:space="preserve"> system MWM</w:t>
      </w:r>
      <w:r w:rsidRPr="00082560">
        <w:rPr>
          <w:rFonts w:ascii="Calibri" w:hAnsi="Calibri" w:cs="Times New Roman"/>
          <w:sz w:val="24"/>
          <w:szCs w:val="24"/>
          <w:lang w:eastAsia="pl-PL"/>
        </w:rPr>
        <w:t xml:space="preserve"> – proces Model Współpracy Międzyoperatorskiej określający zasady współpracy międzyoperatorskiej pomiędzy </w:t>
      </w:r>
      <w:r w:rsidR="00690B5D">
        <w:rPr>
          <w:rFonts w:ascii="Calibri" w:hAnsi="Calibri" w:cs="Times New Roman"/>
          <w:sz w:val="24"/>
          <w:szCs w:val="24"/>
          <w:lang w:eastAsia="pl-PL"/>
        </w:rPr>
        <w:t>OPL</w:t>
      </w:r>
      <w:r w:rsidRPr="00082560">
        <w:rPr>
          <w:rFonts w:ascii="Calibri" w:hAnsi="Calibri" w:cs="Times New Roman"/>
          <w:sz w:val="24"/>
          <w:szCs w:val="24"/>
          <w:lang w:eastAsia="pl-PL"/>
        </w:rPr>
        <w:t xml:space="preserve"> a przedsiębiorcą telekomunikacyjnym (PT) lub Częścią detaliczną </w:t>
      </w:r>
      <w:r w:rsidR="00690B5D">
        <w:rPr>
          <w:rFonts w:ascii="Calibri" w:hAnsi="Calibri" w:cs="Times New Roman"/>
          <w:sz w:val="24"/>
          <w:szCs w:val="24"/>
          <w:lang w:eastAsia="pl-PL"/>
        </w:rPr>
        <w:t>OPL</w:t>
      </w:r>
      <w:r w:rsidRPr="00082560">
        <w:rPr>
          <w:rFonts w:ascii="Calibri" w:hAnsi="Calibri" w:cs="Times New Roman"/>
          <w:sz w:val="24"/>
          <w:szCs w:val="24"/>
          <w:lang w:eastAsia="pl-PL"/>
        </w:rPr>
        <w:t xml:space="preserve"> w przedmiocie realizacji Usług Regulowanych, w zakresie realizacji: </w:t>
      </w:r>
    </w:p>
    <w:p w:rsidR="00082560" w:rsidRPr="00082560" w:rsidRDefault="00082560" w:rsidP="00082560">
      <w:pPr>
        <w:spacing w:line="276" w:lineRule="auto"/>
        <w:ind w:left="880" w:firstLine="0"/>
        <w:rPr>
          <w:rFonts w:ascii="Calibri" w:hAnsi="Calibri" w:cs="Times New Roman"/>
          <w:sz w:val="24"/>
          <w:szCs w:val="24"/>
          <w:lang w:eastAsia="pl-PL"/>
        </w:rPr>
      </w:pPr>
      <w:r w:rsidRPr="00082560">
        <w:rPr>
          <w:rFonts w:ascii="Calibri" w:hAnsi="Calibri" w:cs="Times New Roman"/>
          <w:sz w:val="24"/>
          <w:szCs w:val="24"/>
          <w:lang w:eastAsia="pl-PL"/>
        </w:rPr>
        <w:t xml:space="preserve">a) zamówień na usługi regulowane, świadczone na łączach abonenckich; </w:t>
      </w:r>
    </w:p>
    <w:p w:rsidR="00082560" w:rsidRPr="00082560" w:rsidRDefault="00082560" w:rsidP="00082560">
      <w:pPr>
        <w:spacing w:line="276" w:lineRule="auto"/>
        <w:ind w:left="880" w:firstLine="0"/>
        <w:rPr>
          <w:rFonts w:ascii="Calibri" w:hAnsi="Calibri" w:cs="Times New Roman"/>
          <w:sz w:val="24"/>
          <w:szCs w:val="24"/>
          <w:lang w:eastAsia="pl-PL"/>
        </w:rPr>
      </w:pPr>
      <w:r w:rsidRPr="00082560">
        <w:rPr>
          <w:rFonts w:ascii="Calibri" w:hAnsi="Calibri" w:cs="Times New Roman"/>
          <w:sz w:val="24"/>
          <w:szCs w:val="24"/>
          <w:lang w:eastAsia="pl-PL"/>
        </w:rPr>
        <w:t xml:space="preserve">b) migracji międzyoperatorskich; </w:t>
      </w:r>
    </w:p>
    <w:p w:rsidR="00082560" w:rsidRPr="00082560" w:rsidRDefault="00082560" w:rsidP="00082560">
      <w:pPr>
        <w:spacing w:line="276" w:lineRule="auto"/>
        <w:ind w:left="880" w:firstLine="0"/>
        <w:rPr>
          <w:rFonts w:ascii="Calibri" w:hAnsi="Calibri" w:cs="Times New Roman"/>
          <w:sz w:val="24"/>
          <w:szCs w:val="24"/>
          <w:lang w:eastAsia="pl-PL"/>
        </w:rPr>
      </w:pPr>
      <w:r w:rsidRPr="00082560">
        <w:rPr>
          <w:rFonts w:ascii="Calibri" w:hAnsi="Calibri" w:cs="Times New Roman"/>
          <w:sz w:val="24"/>
          <w:szCs w:val="24"/>
          <w:lang w:eastAsia="pl-PL"/>
        </w:rPr>
        <w:t xml:space="preserve">c) modyfikacji usług  LLU, WLR w tym dezaktywacji, </w:t>
      </w:r>
      <w:r w:rsidR="002B0DC5">
        <w:rPr>
          <w:rFonts w:ascii="Calibri" w:hAnsi="Calibri" w:cs="Times New Roman"/>
          <w:sz w:val="24"/>
          <w:szCs w:val="24"/>
          <w:lang w:eastAsia="pl-PL"/>
        </w:rPr>
        <w:t xml:space="preserve">zmiany numeru, </w:t>
      </w:r>
      <w:r w:rsidRPr="00082560">
        <w:rPr>
          <w:rFonts w:ascii="Calibri" w:hAnsi="Calibri" w:cs="Times New Roman"/>
          <w:sz w:val="24"/>
          <w:szCs w:val="24"/>
          <w:lang w:eastAsia="pl-PL"/>
        </w:rPr>
        <w:t>zmiany lokal</w:t>
      </w:r>
      <w:r w:rsidR="009E52EC">
        <w:rPr>
          <w:rFonts w:ascii="Calibri" w:hAnsi="Calibri" w:cs="Times New Roman"/>
          <w:sz w:val="24"/>
          <w:szCs w:val="24"/>
          <w:lang w:eastAsia="pl-PL"/>
        </w:rPr>
        <w:t xml:space="preserve">u </w:t>
      </w:r>
      <w:r w:rsidR="005575FA">
        <w:rPr>
          <w:rFonts w:ascii="Calibri" w:hAnsi="Calibri" w:cs="Times New Roman"/>
          <w:sz w:val="24"/>
          <w:szCs w:val="24"/>
          <w:lang w:eastAsia="pl-PL"/>
        </w:rPr>
        <w:t>przez Abonenta</w:t>
      </w:r>
      <w:r w:rsidRPr="00082560">
        <w:rPr>
          <w:rFonts w:ascii="Calibri" w:hAnsi="Calibri" w:cs="Times New Roman"/>
          <w:sz w:val="24"/>
          <w:szCs w:val="24"/>
          <w:lang w:eastAsia="pl-PL"/>
        </w:rPr>
        <w:t xml:space="preserve">. </w:t>
      </w:r>
    </w:p>
    <w:p w:rsidR="00082560" w:rsidRPr="00082560" w:rsidRDefault="00082560" w:rsidP="00082560">
      <w:pPr>
        <w:numPr>
          <w:ilvl w:val="0"/>
          <w:numId w:val="4"/>
        </w:numPr>
        <w:spacing w:line="276" w:lineRule="auto"/>
        <w:rPr>
          <w:rFonts w:ascii="Calibri" w:hAnsi="Calibri" w:cs="Times New Roman"/>
          <w:sz w:val="24"/>
          <w:szCs w:val="24"/>
          <w:lang w:eastAsia="pl-PL"/>
        </w:rPr>
      </w:pPr>
      <w:r w:rsidRPr="00082560">
        <w:rPr>
          <w:rFonts w:ascii="Calibri" w:hAnsi="Calibri" w:cs="Times New Roman"/>
          <w:b/>
          <w:sz w:val="24"/>
          <w:szCs w:val="24"/>
          <w:lang w:eastAsia="pl-PL"/>
        </w:rPr>
        <w:t>NP lub proces NP lub usługa NP</w:t>
      </w:r>
      <w:r w:rsidRPr="00082560">
        <w:rPr>
          <w:rFonts w:ascii="Calibri" w:hAnsi="Calibri" w:cs="Times New Roman"/>
          <w:sz w:val="24"/>
          <w:szCs w:val="24"/>
          <w:lang w:eastAsia="pl-PL"/>
        </w:rPr>
        <w:t xml:space="preserve"> – realizacja uprawnienia </w:t>
      </w:r>
      <w:r w:rsidR="00B0054F">
        <w:rPr>
          <w:rFonts w:ascii="Calibri" w:hAnsi="Calibri" w:cs="Times New Roman"/>
          <w:sz w:val="24"/>
          <w:szCs w:val="24"/>
          <w:lang w:eastAsia="pl-PL"/>
        </w:rPr>
        <w:t>A</w:t>
      </w:r>
      <w:r w:rsidRPr="00082560">
        <w:rPr>
          <w:rFonts w:ascii="Calibri" w:hAnsi="Calibri" w:cs="Times New Roman"/>
          <w:sz w:val="24"/>
          <w:szCs w:val="24"/>
          <w:lang w:eastAsia="pl-PL"/>
        </w:rPr>
        <w:t xml:space="preserve">bonenta do przeniesienia przydzielonego numeru telefonicznego do istniejącej sieci operatora przy zmianie </w:t>
      </w:r>
      <w:r w:rsidR="00B0054F">
        <w:rPr>
          <w:rFonts w:ascii="Calibri" w:hAnsi="Calibri" w:cs="Times New Roman"/>
          <w:sz w:val="24"/>
          <w:szCs w:val="24"/>
          <w:lang w:eastAsia="pl-PL"/>
        </w:rPr>
        <w:t>D</w:t>
      </w:r>
      <w:r w:rsidRPr="00082560">
        <w:rPr>
          <w:rFonts w:ascii="Calibri" w:hAnsi="Calibri" w:cs="Times New Roman"/>
          <w:sz w:val="24"/>
          <w:szCs w:val="24"/>
          <w:lang w:eastAsia="pl-PL"/>
        </w:rPr>
        <w:t>ostawcy usług</w:t>
      </w:r>
      <w:r w:rsidR="00B0054F">
        <w:rPr>
          <w:rFonts w:ascii="Calibri" w:hAnsi="Calibri" w:cs="Times New Roman"/>
          <w:sz w:val="24"/>
          <w:szCs w:val="24"/>
          <w:lang w:eastAsia="pl-PL"/>
        </w:rPr>
        <w:t xml:space="preserve">, </w:t>
      </w:r>
      <w:r w:rsidRPr="00082560">
        <w:rPr>
          <w:rFonts w:ascii="Calibri" w:hAnsi="Calibri" w:cs="Times New Roman"/>
          <w:sz w:val="24"/>
          <w:szCs w:val="24"/>
          <w:lang w:eastAsia="pl-PL"/>
        </w:rPr>
        <w:t>o któr</w:t>
      </w:r>
      <w:r w:rsidR="00B0054F">
        <w:rPr>
          <w:rFonts w:ascii="Calibri" w:hAnsi="Calibri" w:cs="Times New Roman"/>
          <w:sz w:val="24"/>
          <w:szCs w:val="24"/>
          <w:lang w:eastAsia="pl-PL"/>
        </w:rPr>
        <w:t>ym</w:t>
      </w:r>
      <w:r w:rsidRPr="00082560">
        <w:rPr>
          <w:rFonts w:ascii="Calibri" w:hAnsi="Calibri" w:cs="Times New Roman"/>
          <w:sz w:val="24"/>
          <w:szCs w:val="24"/>
          <w:lang w:eastAsia="pl-PL"/>
        </w:rPr>
        <w:t xml:space="preserve"> mowa w art. 71 ust. 1 Pt. </w:t>
      </w:r>
    </w:p>
    <w:p w:rsidR="00573D0F" w:rsidRPr="004F057F" w:rsidRDefault="004567BF" w:rsidP="00F02BFE">
      <w:pPr>
        <w:pStyle w:val="Lista2"/>
        <w:numPr>
          <w:ilvl w:val="0"/>
          <w:numId w:val="4"/>
        </w:numPr>
        <w:spacing w:line="276" w:lineRule="auto"/>
        <w:jc w:val="both"/>
        <w:rPr>
          <w:rFonts w:ascii="Calibri" w:hAnsi="Calibri"/>
          <w:sz w:val="24"/>
          <w:szCs w:val="24"/>
        </w:rPr>
      </w:pPr>
      <w:r w:rsidRPr="004F057F">
        <w:rPr>
          <w:rFonts w:ascii="Calibri" w:hAnsi="Calibri"/>
          <w:b/>
          <w:sz w:val="24"/>
          <w:szCs w:val="24"/>
        </w:rPr>
        <w:t>Numer Przeniesiony</w:t>
      </w:r>
      <w:r w:rsidRPr="004F057F">
        <w:rPr>
          <w:rFonts w:ascii="Calibri" w:hAnsi="Calibri"/>
          <w:sz w:val="24"/>
          <w:szCs w:val="24"/>
        </w:rPr>
        <w:t xml:space="preserve"> – Numer Przydzielony i zachowany przez Abonenta przy zawarciu nowej Umowy Abonenckiej z Biorcą, który został przeniesiony do sieci Biorcy i nie jest wykorzystywany przez innego Abonenta w sieciach kolej</w:t>
      </w:r>
      <w:r w:rsidR="00573D0F" w:rsidRPr="004F057F">
        <w:rPr>
          <w:rFonts w:ascii="Calibri" w:hAnsi="Calibri"/>
          <w:sz w:val="24"/>
          <w:szCs w:val="24"/>
        </w:rPr>
        <w:t>nych PT</w:t>
      </w:r>
      <w:r w:rsidRPr="004F057F">
        <w:rPr>
          <w:rFonts w:ascii="Calibri" w:hAnsi="Calibri"/>
          <w:sz w:val="24"/>
          <w:szCs w:val="24"/>
        </w:rPr>
        <w:t>.</w:t>
      </w:r>
    </w:p>
    <w:p w:rsidR="00573D0F" w:rsidRDefault="004567BF" w:rsidP="00F02BFE">
      <w:pPr>
        <w:pStyle w:val="Lista2"/>
        <w:numPr>
          <w:ilvl w:val="0"/>
          <w:numId w:val="4"/>
        </w:numPr>
        <w:spacing w:line="276" w:lineRule="auto"/>
        <w:jc w:val="both"/>
        <w:rPr>
          <w:rFonts w:ascii="Calibri" w:hAnsi="Calibri"/>
          <w:sz w:val="24"/>
          <w:szCs w:val="24"/>
        </w:rPr>
      </w:pPr>
      <w:r w:rsidRPr="004F057F">
        <w:rPr>
          <w:rFonts w:ascii="Calibri" w:hAnsi="Calibri"/>
          <w:b/>
          <w:sz w:val="24"/>
          <w:szCs w:val="24"/>
        </w:rPr>
        <w:t>Numer Przydzielony</w:t>
      </w:r>
      <w:r w:rsidRPr="004F057F">
        <w:rPr>
          <w:rFonts w:ascii="Calibri" w:hAnsi="Calibri"/>
          <w:sz w:val="24"/>
          <w:szCs w:val="24"/>
        </w:rPr>
        <w:t xml:space="preserve"> </w:t>
      </w:r>
      <w:r w:rsidR="00A97349" w:rsidRPr="009762FC">
        <w:rPr>
          <w:rFonts w:ascii="Calibri" w:hAnsi="Calibri"/>
          <w:sz w:val="24"/>
          <w:szCs w:val="24"/>
        </w:rPr>
        <w:t>lub</w:t>
      </w:r>
      <w:r w:rsidR="00A97349">
        <w:rPr>
          <w:rFonts w:ascii="Calibri" w:hAnsi="Calibri"/>
          <w:b/>
          <w:sz w:val="24"/>
          <w:szCs w:val="24"/>
        </w:rPr>
        <w:t xml:space="preserve"> Numer </w:t>
      </w:r>
      <w:r w:rsidR="00A97349">
        <w:rPr>
          <w:rFonts w:ascii="Calibri" w:hAnsi="Calibri"/>
          <w:sz w:val="24"/>
          <w:szCs w:val="24"/>
        </w:rPr>
        <w:t xml:space="preserve">lub </w:t>
      </w:r>
      <w:r w:rsidR="00A97349">
        <w:rPr>
          <w:rFonts w:ascii="Calibri" w:hAnsi="Calibri"/>
          <w:b/>
          <w:sz w:val="24"/>
          <w:szCs w:val="24"/>
        </w:rPr>
        <w:t xml:space="preserve">Numer Telefoniczny </w:t>
      </w:r>
      <w:r w:rsidRPr="004F057F">
        <w:rPr>
          <w:rFonts w:ascii="Calibri" w:hAnsi="Calibri"/>
          <w:sz w:val="24"/>
          <w:szCs w:val="24"/>
        </w:rPr>
        <w:t xml:space="preserve">– numer w formacie Krajowego Numeru Abonenta (KNA) zgodny z PNK, który został przydzielony Abonentowi przez </w:t>
      </w:r>
      <w:r w:rsidR="004C188E">
        <w:rPr>
          <w:rFonts w:ascii="Calibri" w:hAnsi="Calibri"/>
          <w:sz w:val="24"/>
          <w:szCs w:val="24"/>
        </w:rPr>
        <w:t>Dostawcę Usług</w:t>
      </w:r>
      <w:r w:rsidRPr="004F057F">
        <w:rPr>
          <w:rFonts w:ascii="Calibri" w:hAnsi="Calibri"/>
          <w:sz w:val="24"/>
          <w:szCs w:val="24"/>
        </w:rPr>
        <w:t>.</w:t>
      </w:r>
    </w:p>
    <w:p w:rsidR="0089560C" w:rsidRPr="004F057F" w:rsidRDefault="0089560C" w:rsidP="00F02BFE">
      <w:pPr>
        <w:pStyle w:val="Lista2"/>
        <w:numPr>
          <w:ilvl w:val="0"/>
          <w:numId w:val="4"/>
        </w:numPr>
        <w:spacing w:line="276" w:lineRule="auto"/>
        <w:jc w:val="both"/>
        <w:rPr>
          <w:rFonts w:ascii="Calibri" w:hAnsi="Calibri"/>
          <w:sz w:val="24"/>
          <w:szCs w:val="24"/>
        </w:rPr>
      </w:pPr>
      <w:r>
        <w:rPr>
          <w:rFonts w:ascii="Calibri" w:hAnsi="Calibri"/>
          <w:b/>
          <w:sz w:val="24"/>
          <w:szCs w:val="24"/>
        </w:rPr>
        <w:t>Numer Sprawy</w:t>
      </w:r>
      <w:r>
        <w:rPr>
          <w:rFonts w:ascii="Calibri" w:hAnsi="Calibri"/>
          <w:sz w:val="24"/>
          <w:szCs w:val="24"/>
        </w:rPr>
        <w:t xml:space="preserve"> – nadawany przez Biorcę unikalny identyfikator sprawy Przeniesienia Numeru </w:t>
      </w:r>
    </w:p>
    <w:p w:rsidR="00082560" w:rsidRPr="00082560" w:rsidRDefault="00082560" w:rsidP="00082560">
      <w:pPr>
        <w:numPr>
          <w:ilvl w:val="0"/>
          <w:numId w:val="4"/>
        </w:numPr>
        <w:spacing w:line="276" w:lineRule="auto"/>
        <w:rPr>
          <w:rFonts w:ascii="Calibri" w:hAnsi="Calibri" w:cs="Times New Roman"/>
          <w:sz w:val="24"/>
          <w:szCs w:val="24"/>
          <w:lang w:eastAsia="pl-PL"/>
        </w:rPr>
      </w:pPr>
      <w:r w:rsidRPr="00082560">
        <w:rPr>
          <w:rFonts w:ascii="Calibri" w:hAnsi="Calibri" w:cs="Times New Roman"/>
          <w:b/>
          <w:sz w:val="24"/>
          <w:szCs w:val="24"/>
          <w:lang w:eastAsia="pl-PL"/>
        </w:rPr>
        <w:t xml:space="preserve">Numer </w:t>
      </w:r>
      <w:proofErr w:type="spellStart"/>
      <w:r w:rsidR="0089560C">
        <w:rPr>
          <w:rFonts w:ascii="Calibri" w:hAnsi="Calibri" w:cs="Times New Roman"/>
          <w:b/>
          <w:sz w:val="24"/>
          <w:szCs w:val="24"/>
          <w:lang w:eastAsia="pl-PL"/>
        </w:rPr>
        <w:t>R</w:t>
      </w:r>
      <w:r w:rsidR="0089560C" w:rsidRPr="00082560">
        <w:rPr>
          <w:rFonts w:ascii="Calibri" w:hAnsi="Calibri" w:cs="Times New Roman"/>
          <w:b/>
          <w:sz w:val="24"/>
          <w:szCs w:val="24"/>
          <w:lang w:eastAsia="pl-PL"/>
        </w:rPr>
        <w:t>utingowy</w:t>
      </w:r>
      <w:proofErr w:type="spellEnd"/>
      <w:r w:rsidR="0089560C" w:rsidRPr="00082560">
        <w:rPr>
          <w:rFonts w:ascii="Calibri" w:hAnsi="Calibri" w:cs="Times New Roman"/>
          <w:sz w:val="24"/>
          <w:szCs w:val="24"/>
          <w:lang w:eastAsia="pl-PL"/>
        </w:rPr>
        <w:t xml:space="preserve"> </w:t>
      </w:r>
      <w:r w:rsidR="000A4162">
        <w:rPr>
          <w:rFonts w:ascii="Calibri" w:hAnsi="Calibri" w:cs="Times New Roman"/>
          <w:sz w:val="24"/>
          <w:szCs w:val="24"/>
          <w:lang w:eastAsia="pl-PL"/>
        </w:rPr>
        <w:t xml:space="preserve">(RN) </w:t>
      </w:r>
      <w:r w:rsidRPr="00082560">
        <w:rPr>
          <w:rFonts w:ascii="Calibri" w:hAnsi="Calibri" w:cs="Times New Roman"/>
          <w:sz w:val="24"/>
          <w:szCs w:val="24"/>
          <w:lang w:eastAsia="pl-PL"/>
        </w:rPr>
        <w:t>– zgodnie z § 3 Załącznika do rozporządzenia Ministra Infrastruktury z dnia 9 stycznia 2008 r. w sprawie szczegółowych wymagań dotyczących zasad adresowania dla właściwego kierowania połączeń (Dz. U. Nr 14, poz. 84), numer, który umożliwia skierowanie połączeń na numer telefoniczny  przeniesiony do istniejącej sieci operatora na żądanie abonenta, zgodnie z art. 71 ust. 1 Pt.</w:t>
      </w:r>
    </w:p>
    <w:p w:rsidR="00532937" w:rsidRDefault="00532937" w:rsidP="001235D5">
      <w:pPr>
        <w:pStyle w:val="Lista2"/>
        <w:numPr>
          <w:ilvl w:val="0"/>
          <w:numId w:val="4"/>
        </w:numPr>
        <w:spacing w:line="276" w:lineRule="auto"/>
        <w:jc w:val="both"/>
        <w:rPr>
          <w:rFonts w:ascii="Calibri" w:hAnsi="Calibri" w:cs="Arial"/>
          <w:sz w:val="24"/>
          <w:szCs w:val="24"/>
        </w:rPr>
      </w:pPr>
      <w:r w:rsidRPr="009762FC">
        <w:rPr>
          <w:rFonts w:ascii="Calibri" w:hAnsi="Calibri" w:cs="Arial"/>
          <w:b/>
          <w:sz w:val="24"/>
          <w:szCs w:val="24"/>
        </w:rPr>
        <w:t>Operator Infrastrukturalny</w:t>
      </w:r>
      <w:r>
        <w:rPr>
          <w:rFonts w:ascii="Calibri" w:hAnsi="Calibri" w:cs="Arial"/>
          <w:sz w:val="24"/>
          <w:szCs w:val="24"/>
        </w:rPr>
        <w:t xml:space="preserve"> – przedsiębiorca telekomunikacyjny świadczący </w:t>
      </w:r>
      <w:r w:rsidR="00340EC9">
        <w:rPr>
          <w:rFonts w:ascii="Calibri" w:hAnsi="Calibri" w:cs="Arial"/>
          <w:sz w:val="24"/>
          <w:szCs w:val="24"/>
        </w:rPr>
        <w:t xml:space="preserve">usługi </w:t>
      </w:r>
      <w:r>
        <w:rPr>
          <w:rFonts w:ascii="Calibri" w:hAnsi="Calibri" w:cs="Arial"/>
          <w:sz w:val="24"/>
          <w:szCs w:val="24"/>
        </w:rPr>
        <w:t>hurtowe</w:t>
      </w:r>
      <w:r w:rsidR="00340EC9">
        <w:rPr>
          <w:rFonts w:ascii="Calibri" w:hAnsi="Calibri" w:cs="Arial"/>
          <w:sz w:val="24"/>
          <w:szCs w:val="24"/>
        </w:rPr>
        <w:t>go</w:t>
      </w:r>
      <w:r>
        <w:rPr>
          <w:rFonts w:ascii="Calibri" w:hAnsi="Calibri" w:cs="Arial"/>
          <w:sz w:val="24"/>
          <w:szCs w:val="24"/>
        </w:rPr>
        <w:t xml:space="preserve"> </w:t>
      </w:r>
      <w:r w:rsidR="00340EC9">
        <w:rPr>
          <w:rFonts w:ascii="Calibri" w:hAnsi="Calibri" w:cs="Arial"/>
          <w:sz w:val="24"/>
          <w:szCs w:val="24"/>
        </w:rPr>
        <w:t>dostępu do sieci</w:t>
      </w:r>
      <w:r w:rsidR="00B83960">
        <w:rPr>
          <w:rFonts w:ascii="Calibri" w:hAnsi="Calibri" w:cs="Arial"/>
          <w:sz w:val="24"/>
          <w:szCs w:val="24"/>
        </w:rPr>
        <w:t xml:space="preserve"> (PT rozróżniany w Systemie PLI CBD na podstawie Identyfikatora P</w:t>
      </w:r>
      <w:r w:rsidR="00BB5831">
        <w:rPr>
          <w:rFonts w:ascii="Calibri" w:hAnsi="Calibri" w:cs="Arial"/>
          <w:sz w:val="24"/>
          <w:szCs w:val="24"/>
        </w:rPr>
        <w:t xml:space="preserve">rzedsiębiorcy Telekomunikacyjnego </w:t>
      </w:r>
      <w:r w:rsidR="00B83960">
        <w:rPr>
          <w:rFonts w:ascii="Calibri" w:hAnsi="Calibri" w:cs="Arial"/>
          <w:sz w:val="24"/>
          <w:szCs w:val="24"/>
        </w:rPr>
        <w:t>)</w:t>
      </w:r>
      <w:r w:rsidR="007E0A94">
        <w:rPr>
          <w:rFonts w:ascii="Calibri" w:hAnsi="Calibri" w:cs="Arial"/>
          <w:sz w:val="24"/>
          <w:szCs w:val="24"/>
        </w:rPr>
        <w:t>.</w:t>
      </w:r>
      <w:r w:rsidR="00340EC9">
        <w:rPr>
          <w:rFonts w:ascii="Calibri" w:hAnsi="Calibri" w:cs="Arial"/>
          <w:sz w:val="24"/>
          <w:szCs w:val="24"/>
        </w:rPr>
        <w:t xml:space="preserve"> </w:t>
      </w:r>
    </w:p>
    <w:p w:rsidR="00BE3099" w:rsidRPr="001B6526" w:rsidRDefault="00BE3099" w:rsidP="00BE3099">
      <w:pPr>
        <w:pStyle w:val="Lista2"/>
        <w:numPr>
          <w:ilvl w:val="0"/>
          <w:numId w:val="4"/>
        </w:numPr>
        <w:spacing w:line="276" w:lineRule="auto"/>
        <w:jc w:val="both"/>
        <w:rPr>
          <w:rFonts w:ascii="Calibri" w:hAnsi="Calibri"/>
          <w:sz w:val="24"/>
          <w:szCs w:val="24"/>
        </w:rPr>
      </w:pPr>
      <w:r>
        <w:rPr>
          <w:rFonts w:ascii="Calibri" w:hAnsi="Calibri"/>
          <w:b/>
          <w:sz w:val="24"/>
          <w:szCs w:val="24"/>
        </w:rPr>
        <w:t>Operator</w:t>
      </w:r>
      <w:r w:rsidRPr="009F591A">
        <w:rPr>
          <w:rFonts w:ascii="Calibri" w:hAnsi="Calibri"/>
          <w:b/>
          <w:sz w:val="24"/>
          <w:szCs w:val="24"/>
        </w:rPr>
        <w:t xml:space="preserve"> Macierzysty</w:t>
      </w:r>
      <w:r w:rsidRPr="009F591A">
        <w:rPr>
          <w:rFonts w:ascii="Calibri" w:hAnsi="Calibri"/>
          <w:sz w:val="24"/>
          <w:szCs w:val="24"/>
        </w:rPr>
        <w:t xml:space="preserve"> – </w:t>
      </w:r>
      <w:r w:rsidR="009800E5">
        <w:rPr>
          <w:rFonts w:ascii="Calibri" w:hAnsi="Calibri" w:cs="Arial"/>
          <w:sz w:val="24"/>
          <w:szCs w:val="24"/>
        </w:rPr>
        <w:t xml:space="preserve">Z punktu widzenia Przenoszenia Numerów </w:t>
      </w:r>
      <w:r w:rsidRPr="009F591A">
        <w:rPr>
          <w:rFonts w:ascii="Calibri" w:hAnsi="Calibri"/>
          <w:sz w:val="24"/>
          <w:szCs w:val="24"/>
        </w:rPr>
        <w:t>PT, który uzyskał zakres numeracyjny zawierający dany Numer Przydzielony w drodze decyzji administracyjnej lub który uzyskał uprawnienie do wykorzystania zakresu numeracyjnego zawierającego dany Numer Przydzielony - na podstawie umowy o udostępnieni</w:t>
      </w:r>
      <w:r w:rsidR="00B0054F">
        <w:rPr>
          <w:rFonts w:ascii="Calibri" w:hAnsi="Calibri"/>
          <w:sz w:val="24"/>
          <w:szCs w:val="24"/>
        </w:rPr>
        <w:t>u</w:t>
      </w:r>
      <w:r w:rsidRPr="009F591A">
        <w:rPr>
          <w:rFonts w:ascii="Calibri" w:hAnsi="Calibri"/>
          <w:sz w:val="24"/>
          <w:szCs w:val="24"/>
        </w:rPr>
        <w:t xml:space="preserve"> numeracji</w:t>
      </w:r>
      <w:r>
        <w:rPr>
          <w:rFonts w:ascii="Calibri" w:hAnsi="Calibri"/>
          <w:sz w:val="24"/>
          <w:szCs w:val="24"/>
        </w:rPr>
        <w:t xml:space="preserve"> na potrzeby Implementacji Numeracji.</w:t>
      </w:r>
      <w:r w:rsidRPr="009F591A">
        <w:rPr>
          <w:rFonts w:ascii="Calibri" w:hAnsi="Calibri"/>
          <w:sz w:val="24"/>
          <w:szCs w:val="24"/>
        </w:rPr>
        <w:t xml:space="preserve"> </w:t>
      </w:r>
      <w:r>
        <w:rPr>
          <w:rFonts w:ascii="Calibri" w:hAnsi="Calibri" w:cs="Arial"/>
          <w:sz w:val="24"/>
          <w:szCs w:val="24"/>
        </w:rPr>
        <w:t>Jednocześnie Przedsiębiorca ten jest dysponentem elementów sieci telekomunikacyjnej zapewniających przesyłanie w czasie rzeczywistym strumieni głosowych, zarówno w technologii komutacji łączy, jak i technologii komutacji pakietów, w szczególności do Numeru Przeniesionego, z wykorzystaniem metody OR, a Numer Przeniesiony należy do zakresu numeracyjnego, o którym mowa w zdaniu powyżej.</w:t>
      </w:r>
      <w:r w:rsidR="00110786" w:rsidRPr="00110786">
        <w:rPr>
          <w:rFonts w:ascii="Calibri" w:hAnsi="Calibri" w:cs="Arial"/>
          <w:sz w:val="24"/>
          <w:szCs w:val="24"/>
        </w:rPr>
        <w:t xml:space="preserve"> </w:t>
      </w:r>
      <w:r w:rsidR="00110786">
        <w:rPr>
          <w:rFonts w:ascii="Calibri" w:hAnsi="Calibri" w:cs="Arial"/>
          <w:sz w:val="24"/>
          <w:szCs w:val="24"/>
        </w:rPr>
        <w:t>(PT rozróżniany w Systemie PLI CBD na podstawie Identyfikatora Przedsiębiorcy Telekomunikacyjnego).</w:t>
      </w:r>
    </w:p>
    <w:p w:rsidR="00F92971" w:rsidRPr="00EB4199" w:rsidRDefault="00F92971" w:rsidP="00EB4199">
      <w:pPr>
        <w:pStyle w:val="Lista2"/>
        <w:numPr>
          <w:ilvl w:val="0"/>
          <w:numId w:val="4"/>
        </w:numPr>
        <w:spacing w:line="276" w:lineRule="auto"/>
        <w:jc w:val="both"/>
        <w:rPr>
          <w:rFonts w:ascii="Calibri" w:hAnsi="Calibri" w:cs="Arial"/>
          <w:sz w:val="24"/>
          <w:szCs w:val="24"/>
        </w:rPr>
      </w:pPr>
      <w:r w:rsidRPr="00EB4199">
        <w:rPr>
          <w:rFonts w:ascii="Calibri" w:hAnsi="Calibri" w:cs="Arial"/>
          <w:b/>
          <w:bCs/>
          <w:sz w:val="24"/>
          <w:szCs w:val="24"/>
        </w:rPr>
        <w:t xml:space="preserve">Operator </w:t>
      </w:r>
      <w:r w:rsidR="008F5001">
        <w:rPr>
          <w:rFonts w:ascii="Calibri" w:hAnsi="Calibri" w:cs="Arial"/>
          <w:b/>
          <w:bCs/>
          <w:sz w:val="24"/>
          <w:szCs w:val="24"/>
        </w:rPr>
        <w:t>S</w:t>
      </w:r>
      <w:r w:rsidRPr="00EB4199">
        <w:rPr>
          <w:rFonts w:ascii="Calibri" w:hAnsi="Calibri" w:cs="Arial"/>
          <w:b/>
          <w:bCs/>
          <w:sz w:val="24"/>
          <w:szCs w:val="24"/>
        </w:rPr>
        <w:t>ieci</w:t>
      </w:r>
      <w:r w:rsidRPr="00EB4199">
        <w:rPr>
          <w:rFonts w:ascii="Calibri" w:hAnsi="Calibri" w:cs="Arial"/>
          <w:sz w:val="24"/>
          <w:szCs w:val="24"/>
        </w:rPr>
        <w:t xml:space="preserve"> – </w:t>
      </w:r>
      <w:r w:rsidR="009800E5">
        <w:rPr>
          <w:rFonts w:ascii="Calibri" w:hAnsi="Calibri" w:cs="Arial"/>
          <w:sz w:val="24"/>
          <w:szCs w:val="24"/>
        </w:rPr>
        <w:t xml:space="preserve">Z punktu widzenia Przenoszenia Numerów </w:t>
      </w:r>
      <w:r w:rsidR="00A12AAC">
        <w:rPr>
          <w:rFonts w:ascii="Calibri" w:hAnsi="Calibri" w:cs="Arial"/>
          <w:sz w:val="24"/>
          <w:szCs w:val="24"/>
        </w:rPr>
        <w:t>P</w:t>
      </w:r>
      <w:r w:rsidR="00A12AAC" w:rsidRPr="00EB4199">
        <w:rPr>
          <w:rFonts w:ascii="Calibri" w:hAnsi="Calibri" w:cs="Arial"/>
          <w:sz w:val="24"/>
          <w:szCs w:val="24"/>
        </w:rPr>
        <w:t xml:space="preserve">rzedsiębiorca </w:t>
      </w:r>
      <w:r w:rsidR="00A12AAC">
        <w:rPr>
          <w:rFonts w:ascii="Calibri" w:hAnsi="Calibri" w:cs="Arial"/>
          <w:sz w:val="24"/>
          <w:szCs w:val="24"/>
        </w:rPr>
        <w:t>T</w:t>
      </w:r>
      <w:r w:rsidR="00A12AAC" w:rsidRPr="00EB4199">
        <w:rPr>
          <w:rFonts w:ascii="Calibri" w:hAnsi="Calibri" w:cs="Arial"/>
          <w:sz w:val="24"/>
          <w:szCs w:val="24"/>
        </w:rPr>
        <w:t xml:space="preserve">elekomunikacyjny </w:t>
      </w:r>
      <w:r w:rsidRPr="00EB4199">
        <w:rPr>
          <w:rFonts w:ascii="Calibri" w:hAnsi="Calibri" w:cs="Arial"/>
          <w:sz w:val="24"/>
          <w:szCs w:val="24"/>
        </w:rPr>
        <w:t>dostarczający sie</w:t>
      </w:r>
      <w:r w:rsidR="00044B76">
        <w:rPr>
          <w:rFonts w:ascii="Calibri" w:hAnsi="Calibri" w:cs="Arial"/>
          <w:sz w:val="24"/>
          <w:szCs w:val="24"/>
        </w:rPr>
        <w:t>ć</w:t>
      </w:r>
      <w:r w:rsidRPr="00EB4199">
        <w:rPr>
          <w:rFonts w:ascii="Calibri" w:hAnsi="Calibri" w:cs="Arial"/>
          <w:sz w:val="24"/>
          <w:szCs w:val="24"/>
        </w:rPr>
        <w:t xml:space="preserve"> telekomunikacyj</w:t>
      </w:r>
      <w:r w:rsidR="00044B76">
        <w:rPr>
          <w:rFonts w:ascii="Calibri" w:hAnsi="Calibri" w:cs="Arial"/>
          <w:sz w:val="24"/>
          <w:szCs w:val="24"/>
        </w:rPr>
        <w:t>ną</w:t>
      </w:r>
      <w:r w:rsidR="00217A0E">
        <w:rPr>
          <w:rFonts w:ascii="Calibri" w:hAnsi="Calibri" w:cs="Arial"/>
          <w:sz w:val="24"/>
          <w:szCs w:val="24"/>
        </w:rPr>
        <w:t xml:space="preserve"> na terenie Rzeczypospolitej Polskiej</w:t>
      </w:r>
      <w:r w:rsidR="00044B76">
        <w:rPr>
          <w:rFonts w:ascii="Calibri" w:hAnsi="Calibri" w:cs="Arial"/>
          <w:sz w:val="24"/>
          <w:szCs w:val="24"/>
        </w:rPr>
        <w:t xml:space="preserve">, który jest dysponentem </w:t>
      </w:r>
      <w:r w:rsidR="0095412F">
        <w:rPr>
          <w:rFonts w:ascii="Calibri" w:hAnsi="Calibri" w:cs="Arial"/>
          <w:sz w:val="24"/>
          <w:szCs w:val="24"/>
        </w:rPr>
        <w:t xml:space="preserve">punktu styku sieci oraz </w:t>
      </w:r>
      <w:r w:rsidR="00044B76">
        <w:rPr>
          <w:rFonts w:ascii="Calibri" w:hAnsi="Calibri" w:cs="Arial"/>
          <w:sz w:val="24"/>
          <w:szCs w:val="24"/>
        </w:rPr>
        <w:t>elementów sieci telekomunikacyjnej zapewniających przesyłanie w czasie rzeczywistym strumieni głosowych, zarówno w technologii komutacji łączy jak i</w:t>
      </w:r>
      <w:r w:rsidR="00470EC8">
        <w:rPr>
          <w:rFonts w:ascii="Calibri" w:hAnsi="Calibri" w:cs="Arial"/>
          <w:sz w:val="24"/>
          <w:szCs w:val="24"/>
        </w:rPr>
        <w:t xml:space="preserve"> technologii komutacji pakietów</w:t>
      </w:r>
      <w:r w:rsidR="00D9147A">
        <w:rPr>
          <w:rFonts w:ascii="Calibri" w:hAnsi="Calibri" w:cs="Arial"/>
          <w:sz w:val="24"/>
          <w:szCs w:val="24"/>
        </w:rPr>
        <w:t>,</w:t>
      </w:r>
      <w:r w:rsidR="00217A0E">
        <w:rPr>
          <w:rFonts w:ascii="Calibri" w:hAnsi="Calibri" w:cs="Arial"/>
          <w:sz w:val="24"/>
          <w:szCs w:val="24"/>
        </w:rPr>
        <w:t xml:space="preserve"> </w:t>
      </w:r>
      <w:r w:rsidR="0060691E">
        <w:rPr>
          <w:rFonts w:ascii="Calibri" w:hAnsi="Calibri" w:cs="Arial"/>
          <w:sz w:val="24"/>
          <w:szCs w:val="24"/>
        </w:rPr>
        <w:t xml:space="preserve">kierowanych do </w:t>
      </w:r>
      <w:r w:rsidR="00A12AAC">
        <w:rPr>
          <w:rFonts w:ascii="Calibri" w:hAnsi="Calibri" w:cs="Arial"/>
          <w:sz w:val="24"/>
          <w:szCs w:val="24"/>
        </w:rPr>
        <w:t>Numer</w:t>
      </w:r>
      <w:r w:rsidR="0060691E">
        <w:rPr>
          <w:rFonts w:ascii="Calibri" w:hAnsi="Calibri" w:cs="Arial"/>
          <w:sz w:val="24"/>
          <w:szCs w:val="24"/>
        </w:rPr>
        <w:t>u</w:t>
      </w:r>
      <w:r w:rsidR="00217A0E">
        <w:rPr>
          <w:rFonts w:ascii="Calibri" w:hAnsi="Calibri" w:cs="Arial"/>
          <w:sz w:val="24"/>
          <w:szCs w:val="24"/>
        </w:rPr>
        <w:t xml:space="preserve"> </w:t>
      </w:r>
      <w:r w:rsidR="00A12AAC">
        <w:rPr>
          <w:rFonts w:ascii="Calibri" w:hAnsi="Calibri" w:cs="Arial"/>
          <w:sz w:val="24"/>
          <w:szCs w:val="24"/>
        </w:rPr>
        <w:t xml:space="preserve"> Przeniesion</w:t>
      </w:r>
      <w:r w:rsidR="0060691E">
        <w:rPr>
          <w:rFonts w:ascii="Calibri" w:hAnsi="Calibri" w:cs="Arial"/>
          <w:sz w:val="24"/>
          <w:szCs w:val="24"/>
        </w:rPr>
        <w:t>ego od Operatora Macierzystego z wykorzystaniem metody OR</w:t>
      </w:r>
      <w:r w:rsidR="00E37261">
        <w:rPr>
          <w:rFonts w:ascii="Calibri" w:hAnsi="Calibri" w:cs="Arial"/>
          <w:sz w:val="24"/>
          <w:szCs w:val="24"/>
        </w:rPr>
        <w:t xml:space="preserve"> lub ACQ</w:t>
      </w:r>
      <w:r w:rsidR="0060691E">
        <w:rPr>
          <w:rFonts w:ascii="Calibri" w:hAnsi="Calibri" w:cs="Arial"/>
          <w:sz w:val="24"/>
          <w:szCs w:val="24"/>
        </w:rPr>
        <w:t xml:space="preserve"> a od innych PT z wykorzystaniem metody ACQ</w:t>
      </w:r>
      <w:r w:rsidR="00B83960">
        <w:rPr>
          <w:rFonts w:ascii="Calibri" w:hAnsi="Calibri" w:cs="Arial"/>
          <w:sz w:val="24"/>
          <w:szCs w:val="24"/>
        </w:rPr>
        <w:t xml:space="preserve"> (PT rozróżniany w Systemie PLI CBD na podstawie Identyfikatora P</w:t>
      </w:r>
      <w:r w:rsidR="00BB5831">
        <w:rPr>
          <w:rFonts w:ascii="Calibri" w:hAnsi="Calibri" w:cs="Arial"/>
          <w:sz w:val="24"/>
          <w:szCs w:val="24"/>
        </w:rPr>
        <w:t xml:space="preserve">rzedsiębiorcy </w:t>
      </w:r>
      <w:r w:rsidR="00B83960">
        <w:rPr>
          <w:rFonts w:ascii="Calibri" w:hAnsi="Calibri" w:cs="Arial"/>
          <w:sz w:val="24"/>
          <w:szCs w:val="24"/>
        </w:rPr>
        <w:t>T</w:t>
      </w:r>
      <w:r w:rsidR="00BB5831">
        <w:rPr>
          <w:rFonts w:ascii="Calibri" w:hAnsi="Calibri" w:cs="Arial"/>
          <w:sz w:val="24"/>
          <w:szCs w:val="24"/>
        </w:rPr>
        <w:t>elekomunikacyjnego</w:t>
      </w:r>
      <w:r w:rsidR="00B83960">
        <w:rPr>
          <w:rFonts w:ascii="Calibri" w:hAnsi="Calibri" w:cs="Arial"/>
          <w:sz w:val="24"/>
          <w:szCs w:val="24"/>
        </w:rPr>
        <w:t>)</w:t>
      </w:r>
      <w:r w:rsidR="00A12AAC">
        <w:rPr>
          <w:rFonts w:ascii="Calibri" w:hAnsi="Calibri" w:cs="Arial"/>
          <w:sz w:val="24"/>
          <w:szCs w:val="24"/>
        </w:rPr>
        <w:t>.</w:t>
      </w:r>
    </w:p>
    <w:p w:rsidR="00F92971" w:rsidRPr="00EB4199" w:rsidRDefault="00F92971" w:rsidP="00EB4199">
      <w:pPr>
        <w:pStyle w:val="Lista2"/>
        <w:numPr>
          <w:ilvl w:val="0"/>
          <w:numId w:val="4"/>
        </w:numPr>
        <w:spacing w:line="276" w:lineRule="auto"/>
        <w:jc w:val="both"/>
        <w:rPr>
          <w:rFonts w:ascii="Calibri" w:hAnsi="Calibri" w:cs="Arial"/>
          <w:b/>
          <w:sz w:val="24"/>
          <w:szCs w:val="24"/>
        </w:rPr>
      </w:pPr>
      <w:r w:rsidRPr="00EB4199">
        <w:rPr>
          <w:rFonts w:ascii="Calibri" w:hAnsi="Calibri" w:cs="Arial"/>
          <w:b/>
          <w:bCs/>
          <w:sz w:val="24"/>
          <w:szCs w:val="24"/>
        </w:rPr>
        <w:t xml:space="preserve">Operator </w:t>
      </w:r>
      <w:r w:rsidR="008F5001">
        <w:rPr>
          <w:rFonts w:ascii="Calibri" w:hAnsi="Calibri" w:cs="Arial"/>
          <w:b/>
          <w:bCs/>
          <w:sz w:val="24"/>
          <w:szCs w:val="24"/>
        </w:rPr>
        <w:t>U</w:t>
      </w:r>
      <w:r w:rsidRPr="00EB4199">
        <w:rPr>
          <w:rFonts w:ascii="Calibri" w:hAnsi="Calibri" w:cs="Arial"/>
          <w:b/>
          <w:bCs/>
          <w:sz w:val="24"/>
          <w:szCs w:val="24"/>
        </w:rPr>
        <w:t xml:space="preserve">sług </w:t>
      </w:r>
      <w:r w:rsidR="008F5001">
        <w:rPr>
          <w:rFonts w:ascii="Calibri" w:hAnsi="Calibri" w:cs="Arial"/>
          <w:b/>
          <w:bCs/>
          <w:sz w:val="24"/>
          <w:szCs w:val="24"/>
        </w:rPr>
        <w:t>T</w:t>
      </w:r>
      <w:r w:rsidRPr="00EB4199">
        <w:rPr>
          <w:rFonts w:ascii="Calibri" w:hAnsi="Calibri" w:cs="Arial"/>
          <w:b/>
          <w:bCs/>
          <w:sz w:val="24"/>
          <w:szCs w:val="24"/>
        </w:rPr>
        <w:t>owarzyszących</w:t>
      </w:r>
      <w:r w:rsidRPr="00EB4199">
        <w:rPr>
          <w:rFonts w:ascii="Calibri" w:hAnsi="Calibri" w:cs="Arial"/>
          <w:sz w:val="24"/>
          <w:szCs w:val="24"/>
        </w:rPr>
        <w:t xml:space="preserve"> – </w:t>
      </w:r>
      <w:r w:rsidR="009800E5">
        <w:rPr>
          <w:rFonts w:ascii="Calibri" w:hAnsi="Calibri" w:cs="Arial"/>
          <w:sz w:val="24"/>
          <w:szCs w:val="24"/>
        </w:rPr>
        <w:t xml:space="preserve">Z punktu widzenia Przenoszenia Numerów </w:t>
      </w:r>
      <w:r w:rsidR="005575FA">
        <w:rPr>
          <w:rFonts w:ascii="Calibri" w:hAnsi="Calibri" w:cs="Arial"/>
          <w:sz w:val="24"/>
          <w:szCs w:val="24"/>
        </w:rPr>
        <w:t>P</w:t>
      </w:r>
      <w:r w:rsidRPr="00EB4199">
        <w:rPr>
          <w:rFonts w:ascii="Calibri" w:hAnsi="Calibri" w:cs="Arial"/>
          <w:sz w:val="24"/>
          <w:szCs w:val="24"/>
        </w:rPr>
        <w:t xml:space="preserve">rzedsiębiorca </w:t>
      </w:r>
      <w:r w:rsidR="005575FA">
        <w:rPr>
          <w:rFonts w:ascii="Calibri" w:hAnsi="Calibri" w:cs="Arial"/>
          <w:sz w:val="24"/>
          <w:szCs w:val="24"/>
        </w:rPr>
        <w:t>T</w:t>
      </w:r>
      <w:r w:rsidRPr="00EB4199">
        <w:rPr>
          <w:rFonts w:ascii="Calibri" w:hAnsi="Calibri" w:cs="Arial"/>
          <w:sz w:val="24"/>
          <w:szCs w:val="24"/>
        </w:rPr>
        <w:t>elekomunikacyjny świadczący usługi związane z siecią lub usługami telekomunikacyjnymi, które umożliwiają lub wspierają dostarczanie usług za pośrednictwem tych sieci lub usług, lub które mogą służyć do tego celu</w:t>
      </w:r>
      <w:r w:rsidR="00350945">
        <w:rPr>
          <w:rFonts w:ascii="Calibri" w:hAnsi="Calibri" w:cs="Arial"/>
          <w:sz w:val="24"/>
          <w:szCs w:val="24"/>
        </w:rPr>
        <w:t xml:space="preserve"> (</w:t>
      </w:r>
      <w:r w:rsidR="00044B76">
        <w:rPr>
          <w:rFonts w:ascii="Calibri" w:hAnsi="Calibri" w:cs="Arial"/>
          <w:sz w:val="24"/>
          <w:szCs w:val="24"/>
        </w:rPr>
        <w:t>w szczególności dysponent elementów sieci inteligentnej,</w:t>
      </w:r>
      <w:r w:rsidR="00470EC8">
        <w:rPr>
          <w:rFonts w:ascii="Calibri" w:hAnsi="Calibri" w:cs="Arial"/>
          <w:sz w:val="24"/>
          <w:szCs w:val="24"/>
        </w:rPr>
        <w:t xml:space="preserve"> elementów sterujących bramami medialnymi,</w:t>
      </w:r>
      <w:r w:rsidR="00044B76">
        <w:rPr>
          <w:rFonts w:ascii="Calibri" w:hAnsi="Calibri" w:cs="Arial"/>
          <w:sz w:val="24"/>
          <w:szCs w:val="24"/>
        </w:rPr>
        <w:t xml:space="preserve"> platform</w:t>
      </w:r>
      <w:r w:rsidR="00470EC8">
        <w:rPr>
          <w:rFonts w:ascii="Calibri" w:hAnsi="Calibri" w:cs="Arial"/>
          <w:sz w:val="24"/>
          <w:szCs w:val="24"/>
        </w:rPr>
        <w:t xml:space="preserve"> </w:t>
      </w:r>
      <w:proofErr w:type="spellStart"/>
      <w:r w:rsidR="00470EC8">
        <w:rPr>
          <w:rFonts w:ascii="Calibri" w:hAnsi="Calibri" w:cs="Arial"/>
          <w:sz w:val="24"/>
          <w:szCs w:val="24"/>
        </w:rPr>
        <w:t>VoIP</w:t>
      </w:r>
      <w:proofErr w:type="spellEnd"/>
      <w:r w:rsidR="00470EC8">
        <w:rPr>
          <w:rFonts w:ascii="Calibri" w:hAnsi="Calibri" w:cs="Arial"/>
          <w:sz w:val="24"/>
          <w:szCs w:val="24"/>
        </w:rPr>
        <w:t xml:space="preserve">, elementów sieci telekomunikacyjnej sterujących logiką rozpoczynanych </w:t>
      </w:r>
      <w:r w:rsidR="00BD1C1A">
        <w:rPr>
          <w:rFonts w:ascii="Calibri" w:hAnsi="Calibri" w:cs="Arial"/>
          <w:sz w:val="24"/>
          <w:szCs w:val="24"/>
        </w:rPr>
        <w:t xml:space="preserve">i zakańczanych </w:t>
      </w:r>
      <w:r w:rsidR="00470EC8">
        <w:rPr>
          <w:rFonts w:ascii="Calibri" w:hAnsi="Calibri" w:cs="Arial"/>
          <w:sz w:val="24"/>
          <w:szCs w:val="24"/>
        </w:rPr>
        <w:t>połączeń</w:t>
      </w:r>
      <w:r w:rsidR="00350945">
        <w:rPr>
          <w:rFonts w:ascii="Calibri" w:hAnsi="Calibri" w:cs="Arial"/>
          <w:sz w:val="24"/>
          <w:szCs w:val="24"/>
        </w:rPr>
        <w:t>), odpowiedzialny za element sieciowy, który dodaje RN w wiadomościach sygnalizacyjnych pomiędzy sieciami telekomunikacyjnymi z wykorzystaniem sygnalizacji SS7 lub SIP</w:t>
      </w:r>
      <w:r w:rsidR="00110786">
        <w:rPr>
          <w:rFonts w:ascii="Calibri" w:hAnsi="Calibri" w:cs="Arial"/>
          <w:sz w:val="24"/>
          <w:szCs w:val="24"/>
        </w:rPr>
        <w:t>.</w:t>
      </w:r>
      <w:r w:rsidR="00B83960">
        <w:rPr>
          <w:rFonts w:ascii="Calibri" w:hAnsi="Calibri" w:cs="Arial"/>
          <w:sz w:val="24"/>
          <w:szCs w:val="24"/>
        </w:rPr>
        <w:t xml:space="preserve"> </w:t>
      </w:r>
      <w:r w:rsidR="00110786">
        <w:rPr>
          <w:rFonts w:ascii="Calibri" w:hAnsi="Calibri" w:cs="Arial"/>
          <w:sz w:val="24"/>
          <w:szCs w:val="24"/>
        </w:rPr>
        <w:t>(PT rozróżniany w Systemie PLI CBD na podstawie Identyfikatora Przedsiębiorcy Telekomunikacyjnego</w:t>
      </w:r>
      <w:r w:rsidR="00B83960">
        <w:rPr>
          <w:rFonts w:ascii="Calibri" w:hAnsi="Calibri" w:cs="Arial"/>
          <w:sz w:val="24"/>
          <w:szCs w:val="24"/>
        </w:rPr>
        <w:t>)</w:t>
      </w:r>
      <w:r w:rsidR="00470EC8">
        <w:rPr>
          <w:rFonts w:ascii="Calibri" w:hAnsi="Calibri" w:cs="Arial"/>
          <w:sz w:val="24"/>
          <w:szCs w:val="24"/>
        </w:rPr>
        <w:t>.</w:t>
      </w:r>
    </w:p>
    <w:p w:rsidR="001235D5" w:rsidRPr="00E7327C" w:rsidRDefault="001235D5" w:rsidP="001235D5">
      <w:pPr>
        <w:pStyle w:val="Lista2"/>
        <w:numPr>
          <w:ilvl w:val="0"/>
          <w:numId w:val="4"/>
        </w:numPr>
        <w:spacing w:line="276" w:lineRule="auto"/>
        <w:jc w:val="both"/>
        <w:rPr>
          <w:rFonts w:ascii="Calibri" w:hAnsi="Calibri" w:cs="Arial"/>
          <w:sz w:val="24"/>
          <w:szCs w:val="24"/>
        </w:rPr>
      </w:pPr>
      <w:r w:rsidRPr="001235D5">
        <w:rPr>
          <w:rFonts w:ascii="Calibri" w:hAnsi="Calibri" w:cs="Arial"/>
          <w:b/>
          <w:sz w:val="24"/>
          <w:szCs w:val="24"/>
        </w:rPr>
        <w:t xml:space="preserve">OPL </w:t>
      </w:r>
      <w:r w:rsidRPr="001235D5">
        <w:rPr>
          <w:rFonts w:ascii="Calibri" w:hAnsi="Calibri" w:cs="Arial"/>
          <w:sz w:val="24"/>
          <w:szCs w:val="24"/>
        </w:rPr>
        <w:t>– Orange Polska</w:t>
      </w:r>
      <w:r w:rsidR="000A4162">
        <w:rPr>
          <w:rFonts w:ascii="Calibri" w:hAnsi="Calibri" w:cs="Arial"/>
          <w:sz w:val="24"/>
          <w:szCs w:val="24"/>
        </w:rPr>
        <w:t xml:space="preserve"> S.A. z </w:t>
      </w:r>
      <w:r w:rsidR="000A4162" w:rsidRPr="00E7327C">
        <w:rPr>
          <w:rFonts w:ascii="Calibri" w:hAnsi="Calibri" w:cs="Arial"/>
          <w:sz w:val="24"/>
          <w:szCs w:val="24"/>
        </w:rPr>
        <w:t>siedzibą w Warszawie (poprzednia nazwa: Telekomunikacja Polska S.A.)</w:t>
      </w:r>
    </w:p>
    <w:p w:rsidR="004567BF" w:rsidRPr="00E7327C" w:rsidRDefault="004567BF" w:rsidP="00F02BFE">
      <w:pPr>
        <w:pStyle w:val="Lista2"/>
        <w:numPr>
          <w:ilvl w:val="0"/>
          <w:numId w:val="4"/>
        </w:numPr>
        <w:spacing w:line="276" w:lineRule="auto"/>
        <w:jc w:val="both"/>
        <w:rPr>
          <w:rFonts w:ascii="Calibri" w:hAnsi="Calibri"/>
          <w:sz w:val="24"/>
          <w:szCs w:val="24"/>
        </w:rPr>
      </w:pPr>
      <w:r w:rsidRPr="00E7327C">
        <w:rPr>
          <w:rFonts w:ascii="Calibri" w:hAnsi="Calibri"/>
          <w:b/>
          <w:sz w:val="24"/>
          <w:szCs w:val="24"/>
        </w:rPr>
        <w:t>Oświadczenie Abonenta</w:t>
      </w:r>
      <w:r w:rsidR="008F7B40" w:rsidRPr="00E7327C">
        <w:rPr>
          <w:rFonts w:ascii="Calibri" w:hAnsi="Calibri"/>
          <w:b/>
          <w:sz w:val="24"/>
          <w:szCs w:val="24"/>
        </w:rPr>
        <w:t xml:space="preserve"> dla OPL</w:t>
      </w:r>
      <w:r w:rsidRPr="00E7327C">
        <w:rPr>
          <w:rFonts w:ascii="Calibri" w:hAnsi="Calibri"/>
          <w:sz w:val="24"/>
          <w:szCs w:val="24"/>
        </w:rPr>
        <w:t>– dokument podpisany przez Abonenta, w którym Abonent wyraża wolę dotyczącą świadczonych na jego rzecz usług telekomunikacyjnych z wykorzystaniem Łącza Abonenckiego. Wzór Oświadczenia Abonenta stanowi Załącznik nr 16c do Części I Ogólnej Umowy o Dostępie oraz wzór Oświadczenia Abonenta tylko dla realizacji procesu NP stanowi Załącznik nr 17 do Części I Ogólnej Umowy o Dostępie.</w:t>
      </w:r>
    </w:p>
    <w:p w:rsidR="00EC10FB" w:rsidRPr="00E7327C" w:rsidRDefault="00EC10FB" w:rsidP="00082560">
      <w:pPr>
        <w:numPr>
          <w:ilvl w:val="0"/>
          <w:numId w:val="4"/>
        </w:numPr>
        <w:spacing w:line="276" w:lineRule="auto"/>
        <w:rPr>
          <w:rFonts w:ascii="Calibri" w:hAnsi="Calibri" w:cs="Times New Roman"/>
          <w:sz w:val="24"/>
          <w:szCs w:val="24"/>
          <w:lang w:eastAsia="pl-PL"/>
        </w:rPr>
      </w:pPr>
      <w:r w:rsidRPr="00E7327C">
        <w:rPr>
          <w:rFonts w:ascii="Calibri" w:hAnsi="Calibri" w:cs="Times New Roman"/>
          <w:b/>
          <w:sz w:val="24"/>
          <w:szCs w:val="24"/>
          <w:lang w:eastAsia="pl-PL"/>
        </w:rPr>
        <w:t>Oświadczenie RMI</w:t>
      </w:r>
      <w:r w:rsidR="00690B5D" w:rsidRPr="00E7327C">
        <w:rPr>
          <w:rFonts w:ascii="Calibri" w:hAnsi="Calibri" w:cs="Times New Roman"/>
          <w:b/>
          <w:sz w:val="24"/>
          <w:szCs w:val="24"/>
          <w:lang w:eastAsia="pl-PL"/>
        </w:rPr>
        <w:t xml:space="preserve"> </w:t>
      </w:r>
      <w:r w:rsidR="00690B5D" w:rsidRPr="00E7327C">
        <w:rPr>
          <w:rFonts w:ascii="Calibri" w:hAnsi="Calibri" w:cs="Times New Roman"/>
          <w:sz w:val="24"/>
          <w:szCs w:val="24"/>
          <w:lang w:eastAsia="pl-PL"/>
        </w:rPr>
        <w:t>– dokument podpisywany przez Klienta w związku z zamiarem rozwiązania umowy z Dotychczasowym dostawcą usług z Przeniesienie</w:t>
      </w:r>
      <w:r w:rsidR="000A4162" w:rsidRPr="00E7327C">
        <w:rPr>
          <w:rFonts w:ascii="Calibri" w:hAnsi="Calibri" w:cs="Times New Roman"/>
          <w:sz w:val="24"/>
          <w:szCs w:val="24"/>
          <w:lang w:eastAsia="pl-PL"/>
        </w:rPr>
        <w:t>m N</w:t>
      </w:r>
      <w:r w:rsidR="00690B5D" w:rsidRPr="00E7327C">
        <w:rPr>
          <w:rFonts w:ascii="Calibri" w:hAnsi="Calibri" w:cs="Times New Roman"/>
          <w:sz w:val="24"/>
          <w:szCs w:val="24"/>
          <w:lang w:eastAsia="pl-PL"/>
        </w:rPr>
        <w:t>umeru</w:t>
      </w:r>
      <w:r w:rsidR="00883BA5" w:rsidRPr="00E7327C">
        <w:rPr>
          <w:rFonts w:ascii="Calibri" w:hAnsi="Calibri" w:cs="Times New Roman"/>
          <w:sz w:val="24"/>
          <w:szCs w:val="24"/>
          <w:lang w:eastAsia="pl-PL"/>
        </w:rPr>
        <w:t xml:space="preserve">, </w:t>
      </w:r>
      <w:r w:rsidR="004B3152" w:rsidRPr="00E7327C">
        <w:rPr>
          <w:rFonts w:ascii="Calibri" w:hAnsi="Calibri" w:cs="Times New Roman"/>
          <w:sz w:val="24"/>
          <w:szCs w:val="24"/>
          <w:lang w:eastAsia="pl-PL"/>
        </w:rPr>
        <w:t>do</w:t>
      </w:r>
      <w:r w:rsidR="00883BA5" w:rsidRPr="00E7327C">
        <w:rPr>
          <w:rFonts w:ascii="Calibri" w:hAnsi="Calibri" w:cs="Times New Roman"/>
          <w:sz w:val="24"/>
          <w:szCs w:val="24"/>
          <w:lang w:eastAsia="pl-PL"/>
        </w:rPr>
        <w:t>łączany obligatoryjnie do składanego wniosku o Przeniesienie Numeru</w:t>
      </w:r>
      <w:r w:rsidR="00690B5D" w:rsidRPr="00E7327C">
        <w:rPr>
          <w:rFonts w:ascii="Calibri" w:hAnsi="Calibri" w:cs="Times New Roman"/>
          <w:sz w:val="24"/>
          <w:szCs w:val="24"/>
          <w:lang w:eastAsia="pl-PL"/>
        </w:rPr>
        <w:t>, odpowiadający wzorowi stanowiącemu załącznik do RMI.</w:t>
      </w:r>
    </w:p>
    <w:p w:rsidR="00082560" w:rsidRPr="00082560" w:rsidRDefault="00082560" w:rsidP="00082560">
      <w:pPr>
        <w:numPr>
          <w:ilvl w:val="0"/>
          <w:numId w:val="4"/>
        </w:numPr>
        <w:spacing w:line="276" w:lineRule="auto"/>
        <w:rPr>
          <w:rFonts w:ascii="Calibri" w:hAnsi="Calibri" w:cs="Times New Roman"/>
          <w:sz w:val="24"/>
          <w:szCs w:val="24"/>
          <w:lang w:eastAsia="pl-PL"/>
        </w:rPr>
      </w:pPr>
      <w:r w:rsidRPr="00082560">
        <w:rPr>
          <w:rFonts w:ascii="Calibri" w:hAnsi="Calibri" w:cs="Times New Roman"/>
          <w:b/>
          <w:sz w:val="24"/>
          <w:szCs w:val="24"/>
          <w:lang w:eastAsia="pl-PL"/>
        </w:rPr>
        <w:t>PLI CBD</w:t>
      </w:r>
      <w:r w:rsidRPr="00082560">
        <w:rPr>
          <w:rFonts w:ascii="Calibri" w:hAnsi="Calibri" w:cs="Times New Roman"/>
          <w:sz w:val="24"/>
          <w:szCs w:val="24"/>
          <w:lang w:eastAsia="pl-PL"/>
        </w:rPr>
        <w:t xml:space="preserve"> lub </w:t>
      </w:r>
      <w:r w:rsidRPr="00082560">
        <w:rPr>
          <w:rFonts w:ascii="Calibri" w:hAnsi="Calibri" w:cs="Times New Roman"/>
          <w:b/>
          <w:sz w:val="24"/>
          <w:szCs w:val="24"/>
          <w:lang w:eastAsia="pl-PL"/>
        </w:rPr>
        <w:t>System</w:t>
      </w:r>
      <w:r w:rsidR="00844E40">
        <w:rPr>
          <w:rFonts w:ascii="Calibri" w:hAnsi="Calibri" w:cs="Times New Roman"/>
          <w:b/>
          <w:sz w:val="24"/>
          <w:szCs w:val="24"/>
          <w:lang w:eastAsia="pl-PL"/>
        </w:rPr>
        <w:t xml:space="preserve"> PLICBD</w:t>
      </w:r>
      <w:r w:rsidRPr="00082560">
        <w:rPr>
          <w:rFonts w:ascii="Calibri" w:hAnsi="Calibri" w:cs="Times New Roman"/>
          <w:sz w:val="24"/>
          <w:szCs w:val="24"/>
          <w:lang w:eastAsia="pl-PL"/>
        </w:rPr>
        <w:t xml:space="preserve"> lub </w:t>
      </w:r>
      <w:r w:rsidRPr="00082560">
        <w:rPr>
          <w:rFonts w:ascii="Calibri" w:hAnsi="Calibri" w:cs="Times New Roman"/>
          <w:b/>
          <w:sz w:val="24"/>
          <w:szCs w:val="24"/>
          <w:lang w:eastAsia="pl-PL"/>
        </w:rPr>
        <w:t>Baza</w:t>
      </w:r>
      <w:r w:rsidRPr="00082560">
        <w:rPr>
          <w:rFonts w:ascii="Calibri" w:hAnsi="Calibri" w:cs="Times New Roman"/>
          <w:sz w:val="24"/>
          <w:szCs w:val="24"/>
          <w:lang w:eastAsia="pl-PL"/>
        </w:rPr>
        <w:t xml:space="preserve"> - system Platforma Lokalizacyjno-Informacyjna z Centralą Bazą Danych, o którym mowa w art. 78 ust. 4 Pt, zarządzany przez  Prezesa UKE na podstawie art. 78 ust. 6 Pt.</w:t>
      </w:r>
    </w:p>
    <w:p w:rsidR="00082560" w:rsidRPr="00082560" w:rsidRDefault="00082560" w:rsidP="00082560">
      <w:pPr>
        <w:numPr>
          <w:ilvl w:val="0"/>
          <w:numId w:val="4"/>
        </w:numPr>
        <w:spacing w:line="276" w:lineRule="auto"/>
        <w:rPr>
          <w:rFonts w:ascii="Calibri" w:hAnsi="Calibri" w:cs="Times New Roman"/>
          <w:sz w:val="24"/>
          <w:szCs w:val="24"/>
          <w:lang w:eastAsia="pl-PL"/>
        </w:rPr>
      </w:pPr>
      <w:r w:rsidRPr="00082560">
        <w:rPr>
          <w:rFonts w:ascii="Calibri" w:hAnsi="Calibri" w:cs="Times New Roman"/>
          <w:b/>
          <w:sz w:val="24"/>
          <w:szCs w:val="24"/>
          <w:lang w:eastAsia="pl-PL"/>
        </w:rPr>
        <w:t>PLI CBD2</w:t>
      </w:r>
      <w:r w:rsidRPr="00082560">
        <w:rPr>
          <w:rFonts w:ascii="Calibri" w:hAnsi="Calibri" w:cs="Times New Roman"/>
          <w:sz w:val="24"/>
          <w:szCs w:val="24"/>
          <w:lang w:eastAsia="pl-PL"/>
        </w:rPr>
        <w:t xml:space="preserve"> – PLI CBD w stanie po realizacji Zamówienia.</w:t>
      </w:r>
    </w:p>
    <w:p w:rsidR="004567BF" w:rsidRPr="004F057F" w:rsidRDefault="004567BF" w:rsidP="00F02BFE">
      <w:pPr>
        <w:pStyle w:val="Lista2"/>
        <w:numPr>
          <w:ilvl w:val="0"/>
          <w:numId w:val="4"/>
        </w:numPr>
        <w:spacing w:line="276" w:lineRule="auto"/>
        <w:jc w:val="both"/>
        <w:rPr>
          <w:rFonts w:ascii="Calibri" w:hAnsi="Calibri"/>
          <w:sz w:val="24"/>
          <w:szCs w:val="24"/>
        </w:rPr>
      </w:pPr>
      <w:r w:rsidRPr="004F057F">
        <w:rPr>
          <w:rFonts w:ascii="Calibri" w:hAnsi="Calibri"/>
          <w:b/>
          <w:sz w:val="24"/>
          <w:szCs w:val="24"/>
        </w:rPr>
        <w:t>POTS</w:t>
      </w:r>
      <w:r w:rsidRPr="004F057F">
        <w:rPr>
          <w:rFonts w:ascii="Calibri" w:hAnsi="Calibri"/>
          <w:sz w:val="24"/>
          <w:szCs w:val="24"/>
        </w:rPr>
        <w:t xml:space="preserve"> (ang. </w:t>
      </w:r>
      <w:proofErr w:type="spellStart"/>
      <w:r w:rsidRPr="004F057F">
        <w:rPr>
          <w:rFonts w:ascii="Calibri" w:hAnsi="Calibri"/>
          <w:sz w:val="24"/>
          <w:szCs w:val="24"/>
        </w:rPr>
        <w:t>Plain</w:t>
      </w:r>
      <w:proofErr w:type="spellEnd"/>
      <w:r w:rsidRPr="004F057F">
        <w:rPr>
          <w:rFonts w:ascii="Calibri" w:hAnsi="Calibri"/>
          <w:sz w:val="24"/>
          <w:szCs w:val="24"/>
        </w:rPr>
        <w:t xml:space="preserve"> </w:t>
      </w:r>
      <w:proofErr w:type="spellStart"/>
      <w:r w:rsidRPr="004F057F">
        <w:rPr>
          <w:rFonts w:ascii="Calibri" w:hAnsi="Calibri"/>
          <w:sz w:val="24"/>
          <w:szCs w:val="24"/>
        </w:rPr>
        <w:t>Old</w:t>
      </w:r>
      <w:proofErr w:type="spellEnd"/>
      <w:r w:rsidRPr="004F057F">
        <w:rPr>
          <w:rFonts w:ascii="Calibri" w:hAnsi="Calibri"/>
          <w:sz w:val="24"/>
          <w:szCs w:val="24"/>
        </w:rPr>
        <w:t xml:space="preserve"> Telephone Service) – podstawowa usługa telefoniczna.</w:t>
      </w:r>
    </w:p>
    <w:p w:rsidR="00082560" w:rsidRPr="004F057F" w:rsidRDefault="00082560" w:rsidP="00F02BFE">
      <w:pPr>
        <w:pStyle w:val="Lista2"/>
        <w:numPr>
          <w:ilvl w:val="0"/>
          <w:numId w:val="4"/>
        </w:numPr>
        <w:spacing w:line="276" w:lineRule="auto"/>
        <w:jc w:val="both"/>
        <w:rPr>
          <w:rFonts w:ascii="Calibri" w:hAnsi="Calibri"/>
          <w:sz w:val="24"/>
          <w:szCs w:val="24"/>
        </w:rPr>
      </w:pPr>
      <w:r w:rsidRPr="00082560">
        <w:rPr>
          <w:rFonts w:ascii="Calibri" w:hAnsi="Calibri"/>
          <w:b/>
          <w:sz w:val="24"/>
          <w:szCs w:val="24"/>
        </w:rPr>
        <w:t>Prezes UKE</w:t>
      </w:r>
      <w:r w:rsidRPr="00082560">
        <w:rPr>
          <w:rFonts w:ascii="Calibri" w:hAnsi="Calibri"/>
          <w:sz w:val="24"/>
          <w:szCs w:val="24"/>
        </w:rPr>
        <w:t xml:space="preserve"> – Prezes Urzędu Komunikacji Elektronicznej.</w:t>
      </w:r>
    </w:p>
    <w:p w:rsidR="004567BF" w:rsidRPr="009F591A" w:rsidRDefault="004567BF" w:rsidP="000340D0">
      <w:pPr>
        <w:pStyle w:val="Lista2"/>
        <w:numPr>
          <w:ilvl w:val="0"/>
          <w:numId w:val="4"/>
        </w:numPr>
        <w:spacing w:line="276" w:lineRule="auto"/>
        <w:jc w:val="both"/>
        <w:rPr>
          <w:rFonts w:ascii="Calibri" w:hAnsi="Calibri"/>
          <w:sz w:val="24"/>
          <w:szCs w:val="24"/>
        </w:rPr>
      </w:pPr>
      <w:r w:rsidRPr="009F591A">
        <w:rPr>
          <w:rFonts w:ascii="Calibri" w:hAnsi="Calibri"/>
          <w:b/>
          <w:sz w:val="24"/>
          <w:szCs w:val="24"/>
        </w:rPr>
        <w:t xml:space="preserve">Przedsiębiorca </w:t>
      </w:r>
      <w:r w:rsidR="00044B76" w:rsidRPr="009F591A">
        <w:rPr>
          <w:rFonts w:ascii="Calibri" w:hAnsi="Calibri"/>
          <w:b/>
          <w:sz w:val="24"/>
          <w:szCs w:val="24"/>
        </w:rPr>
        <w:t xml:space="preserve">Telekomunikacyjny </w:t>
      </w:r>
      <w:r w:rsidRPr="009F591A">
        <w:rPr>
          <w:rFonts w:ascii="Calibri" w:hAnsi="Calibri"/>
          <w:b/>
          <w:sz w:val="24"/>
          <w:szCs w:val="24"/>
        </w:rPr>
        <w:t>(PT)</w:t>
      </w:r>
      <w:r w:rsidRPr="009F591A">
        <w:rPr>
          <w:rFonts w:ascii="Calibri" w:hAnsi="Calibri"/>
          <w:sz w:val="24"/>
          <w:szCs w:val="24"/>
        </w:rPr>
        <w:t xml:space="preserve"> – przedsiębiorca </w:t>
      </w:r>
      <w:r w:rsidR="00690B5D" w:rsidRPr="009F591A">
        <w:rPr>
          <w:rFonts w:ascii="Calibri" w:hAnsi="Calibri"/>
          <w:sz w:val="24"/>
          <w:szCs w:val="24"/>
        </w:rPr>
        <w:t>(</w:t>
      </w:r>
      <w:r w:rsidRPr="009F591A">
        <w:rPr>
          <w:rFonts w:ascii="Calibri" w:hAnsi="Calibri"/>
          <w:sz w:val="24"/>
          <w:szCs w:val="24"/>
        </w:rPr>
        <w:t>lub inny podmiot uprawniony do wykonywania działalności gospodarczej na podstawie odrębnych przepisów</w:t>
      </w:r>
      <w:r w:rsidR="00690B5D" w:rsidRPr="009F591A">
        <w:rPr>
          <w:rFonts w:ascii="Calibri" w:hAnsi="Calibri"/>
          <w:sz w:val="24"/>
          <w:szCs w:val="24"/>
        </w:rPr>
        <w:t>)</w:t>
      </w:r>
      <w:r w:rsidRPr="009F591A">
        <w:rPr>
          <w:rFonts w:ascii="Calibri" w:hAnsi="Calibri"/>
          <w:sz w:val="24"/>
          <w:szCs w:val="24"/>
        </w:rPr>
        <w:t>, który wykonuje działalność gospodarczą polegającą na dostarczaniu sieci telekomunikacyjnych</w:t>
      </w:r>
      <w:r w:rsidR="004C188E" w:rsidRPr="009F591A">
        <w:rPr>
          <w:rFonts w:ascii="Calibri" w:hAnsi="Calibri"/>
          <w:sz w:val="24"/>
          <w:szCs w:val="24"/>
        </w:rPr>
        <w:t>, świadczeniu usług towarzyszących</w:t>
      </w:r>
      <w:r w:rsidRPr="009F591A">
        <w:rPr>
          <w:rFonts w:ascii="Calibri" w:hAnsi="Calibri"/>
          <w:sz w:val="24"/>
          <w:szCs w:val="24"/>
        </w:rPr>
        <w:t xml:space="preserve"> lub świadczeniu usług telekomunikacyjnych.</w:t>
      </w:r>
    </w:p>
    <w:p w:rsidR="004567BF" w:rsidRDefault="004567BF" w:rsidP="00F02BFE">
      <w:pPr>
        <w:pStyle w:val="Lista2"/>
        <w:numPr>
          <w:ilvl w:val="0"/>
          <w:numId w:val="4"/>
        </w:numPr>
        <w:spacing w:line="276" w:lineRule="auto"/>
        <w:jc w:val="both"/>
        <w:rPr>
          <w:rFonts w:ascii="Calibri" w:hAnsi="Calibri"/>
          <w:sz w:val="24"/>
          <w:szCs w:val="24"/>
        </w:rPr>
      </w:pPr>
      <w:r w:rsidRPr="004F057F">
        <w:rPr>
          <w:rFonts w:ascii="Calibri" w:hAnsi="Calibri"/>
          <w:b/>
          <w:sz w:val="24"/>
          <w:szCs w:val="24"/>
        </w:rPr>
        <w:t>Przeniesienie Numeru</w:t>
      </w:r>
      <w:r w:rsidRPr="004F057F">
        <w:rPr>
          <w:rFonts w:ascii="Calibri" w:hAnsi="Calibri"/>
          <w:sz w:val="24"/>
          <w:szCs w:val="24"/>
        </w:rPr>
        <w:t xml:space="preserve"> </w:t>
      </w:r>
      <w:r w:rsidRPr="004F057F">
        <w:rPr>
          <w:rFonts w:ascii="Calibri" w:hAnsi="Calibri"/>
          <w:b/>
          <w:sz w:val="24"/>
          <w:szCs w:val="24"/>
        </w:rPr>
        <w:t>(NP)</w:t>
      </w:r>
      <w:r w:rsidRPr="004F057F">
        <w:rPr>
          <w:rFonts w:ascii="Calibri" w:hAnsi="Calibri"/>
          <w:sz w:val="24"/>
          <w:szCs w:val="24"/>
        </w:rPr>
        <w:t xml:space="preserve"> – przeniesienie Numeru Przydzielonego z Sieci Dawcy do Sieci Biorcy, w związku z realizacją uprawnienia Abonenta do przeniesienia Numeru Przydzielonego przy zmianie </w:t>
      </w:r>
      <w:r w:rsidR="005575FA">
        <w:rPr>
          <w:rFonts w:ascii="Calibri" w:hAnsi="Calibri"/>
          <w:sz w:val="24"/>
          <w:szCs w:val="24"/>
        </w:rPr>
        <w:t>D</w:t>
      </w:r>
      <w:r w:rsidRPr="004F057F">
        <w:rPr>
          <w:rFonts w:ascii="Calibri" w:hAnsi="Calibri"/>
          <w:sz w:val="24"/>
          <w:szCs w:val="24"/>
        </w:rPr>
        <w:t xml:space="preserve">ostawcy usług. </w:t>
      </w:r>
    </w:p>
    <w:p w:rsidR="008C6F25" w:rsidRPr="004F057F" w:rsidRDefault="008C6F25" w:rsidP="00F02BFE">
      <w:pPr>
        <w:pStyle w:val="Lista2"/>
        <w:numPr>
          <w:ilvl w:val="0"/>
          <w:numId w:val="4"/>
        </w:numPr>
        <w:spacing w:line="276" w:lineRule="auto"/>
        <w:jc w:val="both"/>
        <w:rPr>
          <w:rFonts w:ascii="Calibri" w:hAnsi="Calibri"/>
          <w:sz w:val="24"/>
          <w:szCs w:val="24"/>
        </w:rPr>
      </w:pPr>
      <w:r>
        <w:rPr>
          <w:rFonts w:ascii="Calibri" w:hAnsi="Calibri"/>
          <w:b/>
          <w:sz w:val="24"/>
          <w:szCs w:val="24"/>
        </w:rPr>
        <w:t xml:space="preserve">Przeniesienie Usługi </w:t>
      </w:r>
      <w:r>
        <w:rPr>
          <w:rFonts w:ascii="Calibri" w:hAnsi="Calibri"/>
          <w:sz w:val="24"/>
          <w:szCs w:val="24"/>
        </w:rPr>
        <w:t>–</w:t>
      </w:r>
      <w:r w:rsidRPr="008C6F25">
        <w:rPr>
          <w:rFonts w:ascii="Calibri" w:hAnsi="Calibri"/>
          <w:sz w:val="24"/>
          <w:szCs w:val="24"/>
        </w:rPr>
        <w:t xml:space="preserve"> przeniesienia </w:t>
      </w:r>
      <w:r w:rsidR="00D45BFF">
        <w:rPr>
          <w:rFonts w:ascii="Calibri" w:hAnsi="Calibri"/>
          <w:sz w:val="24"/>
          <w:szCs w:val="24"/>
        </w:rPr>
        <w:t xml:space="preserve">numeru / </w:t>
      </w:r>
      <w:r w:rsidRPr="008C6F25">
        <w:rPr>
          <w:rFonts w:ascii="Calibri" w:hAnsi="Calibri"/>
          <w:sz w:val="24"/>
          <w:szCs w:val="24"/>
        </w:rPr>
        <w:t>wielu numerów dla sieci stacjonarnych, gdy występuje powiązanie z Usługą Hurtową po stronie Biorcy, skonfigurow</w:t>
      </w:r>
      <w:r>
        <w:rPr>
          <w:rFonts w:ascii="Calibri" w:hAnsi="Calibri"/>
          <w:sz w:val="24"/>
          <w:szCs w:val="24"/>
        </w:rPr>
        <w:t>anych w ramach jednej usługi</w:t>
      </w:r>
      <w:r w:rsidRPr="008C6F25">
        <w:rPr>
          <w:rFonts w:ascii="Calibri" w:hAnsi="Calibri"/>
          <w:sz w:val="24"/>
          <w:szCs w:val="24"/>
        </w:rPr>
        <w:t xml:space="preserve"> </w:t>
      </w:r>
    </w:p>
    <w:p w:rsidR="00331F85" w:rsidRPr="00331F85" w:rsidRDefault="00331F85" w:rsidP="00F02BFE">
      <w:pPr>
        <w:pStyle w:val="Lista2"/>
        <w:numPr>
          <w:ilvl w:val="0"/>
          <w:numId w:val="4"/>
        </w:numPr>
        <w:spacing w:line="276" w:lineRule="auto"/>
        <w:jc w:val="both"/>
        <w:rPr>
          <w:rFonts w:ascii="Calibri" w:hAnsi="Calibri"/>
          <w:sz w:val="24"/>
          <w:szCs w:val="24"/>
        </w:rPr>
      </w:pPr>
      <w:r>
        <w:rPr>
          <w:rFonts w:ascii="Calibri" w:hAnsi="Calibri"/>
          <w:b/>
          <w:sz w:val="24"/>
          <w:szCs w:val="24"/>
        </w:rPr>
        <w:t>Przydział numeracji</w:t>
      </w:r>
      <w:r>
        <w:rPr>
          <w:rFonts w:ascii="Calibri" w:hAnsi="Calibri"/>
          <w:sz w:val="24"/>
          <w:szCs w:val="24"/>
        </w:rPr>
        <w:t xml:space="preserve"> – przydzielenie</w:t>
      </w:r>
      <w:r w:rsidR="00CE5F19" w:rsidRPr="00CE5F19">
        <w:rPr>
          <w:rFonts w:ascii="Calibri" w:hAnsi="Calibri"/>
          <w:sz w:val="24"/>
          <w:szCs w:val="24"/>
        </w:rPr>
        <w:t xml:space="preserve"> </w:t>
      </w:r>
      <w:r w:rsidR="000A4162">
        <w:rPr>
          <w:rFonts w:ascii="Calibri" w:hAnsi="Calibri"/>
          <w:sz w:val="24"/>
          <w:szCs w:val="24"/>
        </w:rPr>
        <w:t>P</w:t>
      </w:r>
      <w:r w:rsidR="00CE5F19">
        <w:rPr>
          <w:rFonts w:ascii="Calibri" w:hAnsi="Calibri"/>
          <w:sz w:val="24"/>
          <w:szCs w:val="24"/>
        </w:rPr>
        <w:t xml:space="preserve">rzedsiębiorcy </w:t>
      </w:r>
      <w:r w:rsidR="008A128E">
        <w:rPr>
          <w:rFonts w:ascii="Calibri" w:hAnsi="Calibri"/>
          <w:sz w:val="24"/>
          <w:szCs w:val="24"/>
        </w:rPr>
        <w:t>T</w:t>
      </w:r>
      <w:r w:rsidR="00CE5F19">
        <w:rPr>
          <w:rFonts w:ascii="Calibri" w:hAnsi="Calibri"/>
          <w:sz w:val="24"/>
          <w:szCs w:val="24"/>
        </w:rPr>
        <w:t>elekomunikacyjnemu</w:t>
      </w:r>
      <w:r>
        <w:rPr>
          <w:rFonts w:ascii="Calibri" w:hAnsi="Calibri"/>
          <w:sz w:val="24"/>
          <w:szCs w:val="24"/>
        </w:rPr>
        <w:t xml:space="preserve">, na </w:t>
      </w:r>
      <w:r w:rsidR="00CE5F19">
        <w:rPr>
          <w:rFonts w:ascii="Calibri" w:hAnsi="Calibri"/>
          <w:sz w:val="24"/>
          <w:szCs w:val="24"/>
        </w:rPr>
        <w:t>mocy</w:t>
      </w:r>
      <w:r>
        <w:rPr>
          <w:rFonts w:ascii="Calibri" w:hAnsi="Calibri"/>
          <w:sz w:val="24"/>
          <w:szCs w:val="24"/>
        </w:rPr>
        <w:t xml:space="preserve"> decyzji Prezesa UKE, </w:t>
      </w:r>
      <w:r w:rsidR="000A4162">
        <w:rPr>
          <w:rFonts w:ascii="Calibri" w:hAnsi="Calibri"/>
          <w:sz w:val="24"/>
          <w:szCs w:val="24"/>
        </w:rPr>
        <w:t xml:space="preserve">zakresu (zakresów) </w:t>
      </w:r>
      <w:r>
        <w:rPr>
          <w:rFonts w:ascii="Calibri" w:hAnsi="Calibri"/>
          <w:sz w:val="24"/>
          <w:szCs w:val="24"/>
        </w:rPr>
        <w:t>numeracji na potrzeby świadczenia usług</w:t>
      </w:r>
      <w:r w:rsidR="00505BA9">
        <w:rPr>
          <w:rFonts w:ascii="Calibri" w:hAnsi="Calibri"/>
          <w:sz w:val="24"/>
          <w:szCs w:val="24"/>
        </w:rPr>
        <w:t>.</w:t>
      </w:r>
      <w:r>
        <w:rPr>
          <w:rFonts w:ascii="Calibri" w:hAnsi="Calibri"/>
          <w:sz w:val="24"/>
          <w:szCs w:val="24"/>
        </w:rPr>
        <w:t xml:space="preserve"> </w:t>
      </w:r>
    </w:p>
    <w:p w:rsidR="00CE0154" w:rsidRPr="004F057F" w:rsidRDefault="004567BF" w:rsidP="00F02BFE">
      <w:pPr>
        <w:pStyle w:val="Lista2"/>
        <w:numPr>
          <w:ilvl w:val="0"/>
          <w:numId w:val="4"/>
        </w:numPr>
        <w:spacing w:line="276" w:lineRule="auto"/>
        <w:jc w:val="both"/>
        <w:rPr>
          <w:rFonts w:ascii="Calibri" w:hAnsi="Calibri"/>
          <w:sz w:val="24"/>
          <w:szCs w:val="24"/>
        </w:rPr>
      </w:pPr>
      <w:r w:rsidRPr="004F057F">
        <w:rPr>
          <w:rFonts w:ascii="Calibri" w:hAnsi="Calibri"/>
          <w:b/>
          <w:sz w:val="24"/>
          <w:szCs w:val="24"/>
        </w:rPr>
        <w:t>Przyłącze Abonenckie</w:t>
      </w:r>
      <w:r w:rsidRPr="004F057F">
        <w:rPr>
          <w:rFonts w:ascii="Calibri" w:hAnsi="Calibri"/>
          <w:sz w:val="24"/>
          <w:szCs w:val="24"/>
        </w:rPr>
        <w:t xml:space="preserve"> – odcinek pomiędzy zakończeniem sieci rozdzielczej lub punktem dostępowym a Zakończeniem sieci w lokalu Abonenta.</w:t>
      </w:r>
    </w:p>
    <w:p w:rsidR="004567BF" w:rsidRPr="004F057F" w:rsidRDefault="004567BF" w:rsidP="00F02BFE">
      <w:pPr>
        <w:pStyle w:val="Lista2"/>
        <w:numPr>
          <w:ilvl w:val="0"/>
          <w:numId w:val="4"/>
        </w:numPr>
        <w:spacing w:line="276" w:lineRule="auto"/>
        <w:jc w:val="both"/>
        <w:rPr>
          <w:rFonts w:ascii="Calibri" w:hAnsi="Calibri"/>
          <w:sz w:val="24"/>
          <w:szCs w:val="24"/>
        </w:rPr>
      </w:pPr>
      <w:r w:rsidRPr="004F057F">
        <w:rPr>
          <w:rFonts w:ascii="Calibri" w:hAnsi="Calibri"/>
          <w:b/>
          <w:sz w:val="24"/>
          <w:szCs w:val="24"/>
        </w:rPr>
        <w:t>PSTN</w:t>
      </w:r>
      <w:r w:rsidRPr="004F057F">
        <w:rPr>
          <w:rFonts w:ascii="Calibri" w:hAnsi="Calibri"/>
          <w:sz w:val="24"/>
          <w:szCs w:val="24"/>
        </w:rPr>
        <w:t xml:space="preserve"> (ang. Public </w:t>
      </w:r>
      <w:proofErr w:type="spellStart"/>
      <w:r w:rsidRPr="004F057F">
        <w:rPr>
          <w:rFonts w:ascii="Calibri" w:hAnsi="Calibri"/>
          <w:sz w:val="24"/>
          <w:szCs w:val="24"/>
        </w:rPr>
        <w:t>Switched</w:t>
      </w:r>
      <w:proofErr w:type="spellEnd"/>
      <w:r w:rsidRPr="004F057F">
        <w:rPr>
          <w:rFonts w:ascii="Calibri" w:hAnsi="Calibri"/>
          <w:sz w:val="24"/>
          <w:szCs w:val="24"/>
        </w:rPr>
        <w:t xml:space="preserve"> </w:t>
      </w:r>
      <w:proofErr w:type="spellStart"/>
      <w:r w:rsidRPr="004F057F">
        <w:rPr>
          <w:rFonts w:ascii="Calibri" w:hAnsi="Calibri"/>
          <w:sz w:val="24"/>
          <w:szCs w:val="24"/>
        </w:rPr>
        <w:t>Telephony</w:t>
      </w:r>
      <w:proofErr w:type="spellEnd"/>
      <w:r w:rsidRPr="004F057F">
        <w:rPr>
          <w:rFonts w:ascii="Calibri" w:hAnsi="Calibri"/>
          <w:sz w:val="24"/>
          <w:szCs w:val="24"/>
        </w:rPr>
        <w:t xml:space="preserve"> Network) – publiczna sieć telefonii stacjonarnej.</w:t>
      </w:r>
    </w:p>
    <w:p w:rsidR="00A67F39" w:rsidRPr="00C65329" w:rsidRDefault="001235D5" w:rsidP="00C65329">
      <w:pPr>
        <w:pStyle w:val="Lista2"/>
        <w:numPr>
          <w:ilvl w:val="0"/>
          <w:numId w:val="4"/>
        </w:numPr>
        <w:spacing w:line="276" w:lineRule="auto"/>
        <w:jc w:val="both"/>
        <w:rPr>
          <w:rFonts w:ascii="Calibri" w:hAnsi="Calibri" w:cs="Arial"/>
          <w:sz w:val="24"/>
          <w:szCs w:val="24"/>
        </w:rPr>
      </w:pPr>
      <w:r w:rsidRPr="001235D5">
        <w:rPr>
          <w:rFonts w:ascii="Calibri" w:hAnsi="Calibri" w:cs="Arial"/>
          <w:b/>
          <w:bCs/>
          <w:sz w:val="24"/>
          <w:szCs w:val="24"/>
        </w:rPr>
        <w:t xml:space="preserve">Rezygnacja Abonenta  </w:t>
      </w:r>
      <w:r w:rsidRPr="001235D5">
        <w:rPr>
          <w:rFonts w:ascii="Calibri" w:hAnsi="Calibri" w:cs="Arial"/>
          <w:sz w:val="24"/>
          <w:szCs w:val="24"/>
        </w:rPr>
        <w:t>– dokument podpisany przez Abonenta</w:t>
      </w:r>
      <w:r w:rsidR="00E7327C">
        <w:rPr>
          <w:rFonts w:ascii="Calibri" w:hAnsi="Calibri" w:cs="Arial"/>
          <w:sz w:val="24"/>
          <w:szCs w:val="24"/>
        </w:rPr>
        <w:t xml:space="preserve"> w procesie bez pełnomocnictwa dla Biorcy</w:t>
      </w:r>
      <w:r w:rsidRPr="001235D5">
        <w:rPr>
          <w:rFonts w:ascii="Calibri" w:hAnsi="Calibri" w:cs="Arial"/>
          <w:sz w:val="24"/>
          <w:szCs w:val="24"/>
        </w:rPr>
        <w:t xml:space="preserve"> i dostarczony </w:t>
      </w:r>
      <w:r w:rsidR="008F7745">
        <w:rPr>
          <w:rFonts w:ascii="Calibri" w:hAnsi="Calibri" w:cs="Arial"/>
          <w:sz w:val="24"/>
          <w:szCs w:val="24"/>
        </w:rPr>
        <w:t>Daw</w:t>
      </w:r>
      <w:r w:rsidR="008F7745" w:rsidRPr="001235D5">
        <w:rPr>
          <w:rFonts w:ascii="Calibri" w:hAnsi="Calibri" w:cs="Arial"/>
          <w:sz w:val="24"/>
          <w:szCs w:val="24"/>
        </w:rPr>
        <w:t>cy</w:t>
      </w:r>
      <w:r w:rsidRPr="001235D5">
        <w:rPr>
          <w:rFonts w:ascii="Calibri" w:hAnsi="Calibri" w:cs="Arial"/>
          <w:sz w:val="24"/>
          <w:szCs w:val="24"/>
        </w:rPr>
        <w:t>, w którym deklaruje on wolę rezygnacji z usług telekomunikacyjnych świadczonych przez Dawcę.</w:t>
      </w:r>
    </w:p>
    <w:p w:rsidR="00A67F39" w:rsidRPr="00A67F39" w:rsidRDefault="00A67F39" w:rsidP="00A67F39">
      <w:pPr>
        <w:pStyle w:val="Lista2"/>
        <w:numPr>
          <w:ilvl w:val="0"/>
          <w:numId w:val="4"/>
        </w:numPr>
        <w:spacing w:line="276" w:lineRule="auto"/>
        <w:jc w:val="both"/>
        <w:rPr>
          <w:rFonts w:ascii="Calibri" w:hAnsi="Calibri" w:cs="Arial"/>
          <w:sz w:val="24"/>
          <w:szCs w:val="24"/>
        </w:rPr>
      </w:pPr>
      <w:r w:rsidRPr="00A67F39">
        <w:rPr>
          <w:rFonts w:ascii="Calibri" w:hAnsi="Calibri" w:cs="Arial"/>
          <w:b/>
          <w:bCs/>
          <w:sz w:val="24"/>
          <w:szCs w:val="24"/>
        </w:rPr>
        <w:t xml:space="preserve">Sieć OPL </w:t>
      </w:r>
      <w:r w:rsidRPr="00A67F39">
        <w:rPr>
          <w:rFonts w:ascii="Calibri" w:hAnsi="Calibri" w:cs="Arial"/>
          <w:sz w:val="24"/>
          <w:szCs w:val="24"/>
        </w:rPr>
        <w:t xml:space="preserve">– stacjonarna publiczna sieć telekomunikacyjna OPL. </w:t>
      </w:r>
    </w:p>
    <w:p w:rsidR="004567BF" w:rsidRPr="004F057F" w:rsidRDefault="004567BF" w:rsidP="00F02BFE">
      <w:pPr>
        <w:pStyle w:val="Lista2"/>
        <w:numPr>
          <w:ilvl w:val="0"/>
          <w:numId w:val="4"/>
        </w:numPr>
        <w:spacing w:line="276" w:lineRule="auto"/>
        <w:jc w:val="both"/>
        <w:rPr>
          <w:rFonts w:ascii="Calibri" w:hAnsi="Calibri"/>
          <w:sz w:val="24"/>
          <w:szCs w:val="24"/>
        </w:rPr>
      </w:pPr>
      <w:r w:rsidRPr="004F057F">
        <w:rPr>
          <w:rFonts w:ascii="Calibri" w:hAnsi="Calibri"/>
          <w:b/>
          <w:sz w:val="24"/>
          <w:szCs w:val="24"/>
        </w:rPr>
        <w:t>Sieć PT</w:t>
      </w:r>
      <w:r w:rsidRPr="004F057F">
        <w:rPr>
          <w:rFonts w:ascii="Calibri" w:hAnsi="Calibri"/>
          <w:sz w:val="24"/>
          <w:szCs w:val="24"/>
        </w:rPr>
        <w:t xml:space="preserve"> –publiczna sieć telekomunikacyjna Przedsiębiorcy telekomunikacyjnego. </w:t>
      </w:r>
    </w:p>
    <w:p w:rsidR="00B52EF5" w:rsidRPr="004F057F" w:rsidRDefault="004567BF" w:rsidP="00A67F39">
      <w:pPr>
        <w:pStyle w:val="Lista2"/>
        <w:numPr>
          <w:ilvl w:val="0"/>
          <w:numId w:val="4"/>
        </w:numPr>
        <w:spacing w:line="276" w:lineRule="auto"/>
        <w:jc w:val="both"/>
        <w:rPr>
          <w:rFonts w:ascii="Calibri" w:hAnsi="Calibri"/>
          <w:sz w:val="24"/>
          <w:szCs w:val="24"/>
        </w:rPr>
      </w:pPr>
      <w:r w:rsidRPr="004F057F">
        <w:rPr>
          <w:rFonts w:ascii="Calibri" w:hAnsi="Calibri"/>
          <w:b/>
          <w:sz w:val="24"/>
          <w:szCs w:val="24"/>
        </w:rPr>
        <w:t>Siła Wyższa</w:t>
      </w:r>
      <w:r w:rsidRPr="004F057F">
        <w:rPr>
          <w:rFonts w:ascii="Calibri" w:hAnsi="Calibri"/>
          <w:sz w:val="24"/>
          <w:szCs w:val="24"/>
        </w:rPr>
        <w:t xml:space="preserve"> – zdarzenie zewnętrzne o charakterze nadzwyczajnym niezależne od strony, któremu nie </w:t>
      </w:r>
      <w:r w:rsidR="00B52EF5" w:rsidRPr="004F057F">
        <w:rPr>
          <w:rFonts w:ascii="Calibri" w:hAnsi="Calibri"/>
          <w:sz w:val="24"/>
          <w:szCs w:val="24"/>
        </w:rPr>
        <w:t xml:space="preserve">można zapobiec przy dołożeniu najwyższej staranności, </w:t>
      </w:r>
      <w:r w:rsidR="00082560" w:rsidRPr="004F057F">
        <w:rPr>
          <w:rFonts w:ascii="Calibri" w:hAnsi="Calibri"/>
          <w:sz w:val="24"/>
          <w:szCs w:val="24"/>
        </w:rPr>
        <w:br/>
      </w:r>
      <w:r w:rsidR="00B52EF5" w:rsidRPr="004F057F">
        <w:rPr>
          <w:rFonts w:ascii="Calibri" w:hAnsi="Calibri"/>
          <w:sz w:val="24"/>
          <w:szCs w:val="24"/>
        </w:rPr>
        <w:t>a w szczególności:</w:t>
      </w:r>
      <w:r w:rsidR="00A67F39" w:rsidRPr="004F057F">
        <w:rPr>
          <w:rFonts w:ascii="Calibri" w:hAnsi="Calibri"/>
          <w:sz w:val="24"/>
          <w:szCs w:val="24"/>
        </w:rPr>
        <w:t xml:space="preserve"> </w:t>
      </w:r>
      <w:r w:rsidR="00B52EF5" w:rsidRPr="004F057F">
        <w:rPr>
          <w:rFonts w:ascii="Calibri" w:hAnsi="Calibri"/>
          <w:sz w:val="24"/>
          <w:szCs w:val="24"/>
        </w:rPr>
        <w:t xml:space="preserve">wojna w tym wojna domowa, zamieszki, akty sabotażu, rozruchy, </w:t>
      </w:r>
    </w:p>
    <w:p w:rsidR="00A67F39" w:rsidRPr="004F057F" w:rsidRDefault="00B52EF5" w:rsidP="00A67F39">
      <w:pPr>
        <w:pStyle w:val="wypunktowanie0"/>
        <w:spacing w:before="0" w:line="276" w:lineRule="auto"/>
        <w:ind w:firstLine="424"/>
        <w:rPr>
          <w:rFonts w:ascii="Calibri" w:hAnsi="Calibri"/>
          <w:sz w:val="24"/>
          <w:szCs w:val="24"/>
        </w:rPr>
      </w:pPr>
      <w:r w:rsidRPr="004F057F">
        <w:rPr>
          <w:rFonts w:ascii="Calibri" w:hAnsi="Calibri"/>
          <w:sz w:val="24"/>
          <w:szCs w:val="24"/>
        </w:rPr>
        <w:t>katastrofy naturalne np. burze, huragany, trzęsienia ziemi, powodzie.</w:t>
      </w:r>
    </w:p>
    <w:p w:rsidR="00082560" w:rsidRPr="00082560" w:rsidRDefault="00082560" w:rsidP="00082560">
      <w:pPr>
        <w:numPr>
          <w:ilvl w:val="0"/>
          <w:numId w:val="4"/>
        </w:numPr>
        <w:spacing w:line="276" w:lineRule="auto"/>
        <w:rPr>
          <w:rFonts w:ascii="Calibri" w:hAnsi="Calibri" w:cs="Times New Roman"/>
          <w:sz w:val="24"/>
          <w:szCs w:val="24"/>
          <w:lang w:eastAsia="pl-PL"/>
        </w:rPr>
      </w:pPr>
      <w:r w:rsidRPr="00082560">
        <w:rPr>
          <w:rFonts w:ascii="Calibri" w:hAnsi="Calibri" w:cs="Times New Roman"/>
          <w:b/>
          <w:sz w:val="24"/>
          <w:szCs w:val="24"/>
          <w:lang w:eastAsia="pl-PL"/>
        </w:rPr>
        <w:t>SIWZ</w:t>
      </w:r>
      <w:r w:rsidRPr="00082560">
        <w:rPr>
          <w:rFonts w:ascii="Calibri" w:hAnsi="Calibri" w:cs="Times New Roman"/>
          <w:sz w:val="24"/>
          <w:szCs w:val="24"/>
          <w:lang w:eastAsia="pl-PL"/>
        </w:rPr>
        <w:t xml:space="preserve"> -  specyfikacja istotnych warunków zamówienia publicznego dla przetargu nieograniczonego na rozbudowę Platformy Lokalizacyjno-Informacyjnej z Centralną Bazą Danych (PLI CBD2). </w:t>
      </w:r>
    </w:p>
    <w:p w:rsidR="00082560" w:rsidRPr="00082560" w:rsidRDefault="00082560" w:rsidP="00082560">
      <w:pPr>
        <w:numPr>
          <w:ilvl w:val="0"/>
          <w:numId w:val="4"/>
        </w:numPr>
        <w:spacing w:line="276" w:lineRule="auto"/>
        <w:rPr>
          <w:rFonts w:ascii="Calibri" w:hAnsi="Calibri" w:cs="Times New Roman"/>
          <w:sz w:val="24"/>
          <w:szCs w:val="24"/>
          <w:lang w:eastAsia="pl-PL"/>
        </w:rPr>
      </w:pPr>
      <w:r w:rsidRPr="00082560">
        <w:rPr>
          <w:rFonts w:ascii="Calibri" w:hAnsi="Calibri" w:cs="Times New Roman"/>
          <w:b/>
          <w:sz w:val="24"/>
          <w:szCs w:val="24"/>
          <w:lang w:eastAsia="pl-PL"/>
        </w:rPr>
        <w:t xml:space="preserve">SOR </w:t>
      </w:r>
      <w:r w:rsidRPr="00082560">
        <w:rPr>
          <w:rFonts w:ascii="Calibri" w:hAnsi="Calibri" w:cs="Times New Roman"/>
          <w:sz w:val="24"/>
          <w:szCs w:val="24"/>
          <w:lang w:eastAsia="pl-PL"/>
        </w:rPr>
        <w:t>lub</w:t>
      </w:r>
      <w:r w:rsidRPr="00082560">
        <w:rPr>
          <w:rFonts w:ascii="Calibri" w:hAnsi="Calibri" w:cs="Times New Roman"/>
          <w:b/>
          <w:sz w:val="24"/>
          <w:szCs w:val="24"/>
          <w:lang w:eastAsia="pl-PL"/>
        </w:rPr>
        <w:t xml:space="preserve"> Oferta SOR</w:t>
      </w:r>
      <w:r w:rsidRPr="00082560">
        <w:rPr>
          <w:rFonts w:ascii="Calibri" w:hAnsi="Calibri" w:cs="Times New Roman"/>
          <w:sz w:val="24"/>
          <w:szCs w:val="24"/>
          <w:lang w:eastAsia="pl-PL"/>
        </w:rPr>
        <w:t xml:space="preserve"> </w:t>
      </w:r>
      <w:r w:rsidR="005575FA">
        <w:rPr>
          <w:rFonts w:ascii="Calibri" w:hAnsi="Calibri" w:cs="Times New Roman"/>
          <w:sz w:val="24"/>
          <w:szCs w:val="24"/>
          <w:lang w:eastAsia="pl-PL"/>
        </w:rPr>
        <w:t xml:space="preserve">lub </w:t>
      </w:r>
      <w:r w:rsidR="005575FA" w:rsidRPr="00C65329">
        <w:rPr>
          <w:rFonts w:ascii="Calibri" w:hAnsi="Calibri" w:cs="Times New Roman"/>
          <w:b/>
          <w:sz w:val="24"/>
          <w:szCs w:val="24"/>
          <w:lang w:eastAsia="pl-PL"/>
        </w:rPr>
        <w:t>Decyzja SOR</w:t>
      </w:r>
      <w:r w:rsidR="005575FA">
        <w:rPr>
          <w:rFonts w:ascii="Calibri" w:hAnsi="Calibri" w:cs="Times New Roman"/>
          <w:sz w:val="24"/>
          <w:szCs w:val="24"/>
          <w:lang w:eastAsia="pl-PL"/>
        </w:rPr>
        <w:t xml:space="preserve"> </w:t>
      </w:r>
      <w:r w:rsidRPr="00082560">
        <w:rPr>
          <w:rFonts w:ascii="Calibri" w:hAnsi="Calibri" w:cs="Times New Roman"/>
          <w:sz w:val="24"/>
          <w:szCs w:val="24"/>
          <w:lang w:eastAsia="pl-PL"/>
        </w:rPr>
        <w:t xml:space="preserve">– </w:t>
      </w:r>
      <w:r w:rsidR="007E07DC">
        <w:rPr>
          <w:rFonts w:ascii="Calibri" w:hAnsi="Calibri" w:cs="Times New Roman"/>
          <w:sz w:val="24"/>
          <w:szCs w:val="24"/>
          <w:lang w:eastAsia="pl-PL"/>
        </w:rPr>
        <w:t>„</w:t>
      </w:r>
      <w:r w:rsidRPr="00082560">
        <w:rPr>
          <w:rFonts w:ascii="Calibri" w:hAnsi="Calibri" w:cs="Times New Roman"/>
          <w:sz w:val="24"/>
          <w:szCs w:val="24"/>
          <w:lang w:eastAsia="pl-PL"/>
        </w:rPr>
        <w:t xml:space="preserve">oferta ramowa określająca ramowe warunki dostępu telekomunikacyjnego w zakresie rozpoczynania i zakańczania połączeń, hurtowego dostępu do sieci </w:t>
      </w:r>
      <w:r w:rsidR="007E07DC">
        <w:rPr>
          <w:rFonts w:ascii="Calibri" w:hAnsi="Calibri" w:cs="Times New Roman"/>
          <w:sz w:val="24"/>
          <w:szCs w:val="24"/>
          <w:lang w:eastAsia="pl-PL"/>
        </w:rPr>
        <w:t>OPL</w:t>
      </w:r>
      <w:r w:rsidRPr="00082560">
        <w:rPr>
          <w:rFonts w:ascii="Calibri" w:hAnsi="Calibri" w:cs="Times New Roman"/>
          <w:sz w:val="24"/>
          <w:szCs w:val="24"/>
          <w:lang w:eastAsia="pl-PL"/>
        </w:rPr>
        <w:t>, dostępu do łączy abonenckich w sposób zapewniający dostęp pełny lub współdzielony oraz dostępu do łączy abonenckich poprzez węzły sieci telekomunikacyjnej na potrzeby sprzedaży usług szerokopasmowej transmisji danych (Usług Regulowanych)</w:t>
      </w:r>
      <w:r w:rsidR="000A4162">
        <w:rPr>
          <w:rFonts w:ascii="Calibri" w:hAnsi="Calibri" w:cs="Times New Roman"/>
          <w:sz w:val="24"/>
          <w:szCs w:val="24"/>
          <w:lang w:eastAsia="pl-PL"/>
        </w:rPr>
        <w:t>,</w:t>
      </w:r>
      <w:r w:rsidRPr="00082560">
        <w:rPr>
          <w:rFonts w:ascii="Calibri" w:hAnsi="Calibri" w:cs="Times New Roman"/>
          <w:sz w:val="24"/>
          <w:szCs w:val="24"/>
          <w:lang w:eastAsia="pl-PL"/>
        </w:rPr>
        <w:t xml:space="preserve"> zatwierdzona decyzją Prezesa Urzędu Komunikacji Elektronicznej nr DHRT-WOR-6082-4/10(109) z dnia 29 września 2010 r., a następnie w części zmieniona, w części uchylona, a w części utrzymana w mocy decyzją Prezesa UKE z dnia 5 kwietnia 2011 r., oraz decyzją Prezesa UKE z dnia 4 października 2011 r. nr DHRT-WORK-6082-2/11(70)</w:t>
      </w:r>
      <w:r w:rsidR="006F48D3">
        <w:rPr>
          <w:rFonts w:ascii="Calibri" w:hAnsi="Calibri" w:cs="Times New Roman"/>
          <w:sz w:val="24"/>
          <w:szCs w:val="24"/>
          <w:lang w:eastAsia="pl-PL"/>
        </w:rPr>
        <w:t>, wraz z późniejszymi zmianami</w:t>
      </w:r>
      <w:r w:rsidRPr="00082560">
        <w:rPr>
          <w:rFonts w:ascii="Calibri" w:hAnsi="Calibri" w:cs="Times New Roman"/>
          <w:sz w:val="24"/>
          <w:szCs w:val="24"/>
          <w:lang w:eastAsia="pl-PL"/>
        </w:rPr>
        <w:t xml:space="preserve">. Oferta SOR reguluje zasady współpracy międzyoperatorskiej pomiędzy </w:t>
      </w:r>
      <w:r w:rsidR="000A4162">
        <w:rPr>
          <w:rFonts w:ascii="Calibri" w:hAnsi="Calibri" w:cs="Times New Roman"/>
          <w:sz w:val="24"/>
          <w:szCs w:val="24"/>
          <w:lang w:eastAsia="pl-PL"/>
        </w:rPr>
        <w:t xml:space="preserve">OPL </w:t>
      </w:r>
      <w:r w:rsidRPr="00082560">
        <w:rPr>
          <w:rFonts w:ascii="Calibri" w:hAnsi="Calibri" w:cs="Times New Roman"/>
          <w:sz w:val="24"/>
          <w:szCs w:val="24"/>
          <w:lang w:eastAsia="pl-PL"/>
        </w:rPr>
        <w:t xml:space="preserve">a Przedsiębiorcami Telekomunikacyjnymi (PT) lub Częścią detaliczną </w:t>
      </w:r>
      <w:r w:rsidR="000A4162">
        <w:rPr>
          <w:rFonts w:ascii="Calibri" w:hAnsi="Calibri" w:cs="Times New Roman"/>
          <w:sz w:val="24"/>
          <w:szCs w:val="24"/>
          <w:lang w:eastAsia="pl-PL"/>
        </w:rPr>
        <w:t xml:space="preserve">OPL </w:t>
      </w:r>
      <w:r w:rsidRPr="00082560">
        <w:rPr>
          <w:rFonts w:ascii="Calibri" w:hAnsi="Calibri" w:cs="Times New Roman"/>
          <w:sz w:val="24"/>
          <w:szCs w:val="24"/>
          <w:lang w:eastAsia="pl-PL"/>
        </w:rPr>
        <w:t>w przedmiocie realizacji usług RIO, WLR, BSA oraz LLU (Usług Regulowanych).</w:t>
      </w:r>
    </w:p>
    <w:p w:rsidR="00A67F39" w:rsidRPr="00C65329" w:rsidRDefault="00B52EF5" w:rsidP="00253A4F">
      <w:pPr>
        <w:pStyle w:val="Lista2"/>
        <w:numPr>
          <w:ilvl w:val="0"/>
          <w:numId w:val="4"/>
        </w:numPr>
        <w:spacing w:line="276" w:lineRule="auto"/>
        <w:jc w:val="both"/>
        <w:rPr>
          <w:rFonts w:ascii="Calibri" w:hAnsi="Calibri" w:cs="Arial"/>
          <w:b/>
          <w:sz w:val="24"/>
          <w:szCs w:val="24"/>
        </w:rPr>
      </w:pPr>
      <w:r w:rsidRPr="004F057F">
        <w:rPr>
          <w:rFonts w:ascii="Calibri" w:hAnsi="Calibri" w:cs="Arial"/>
          <w:b/>
          <w:sz w:val="24"/>
          <w:szCs w:val="24"/>
        </w:rPr>
        <w:t>Strefa Numeracyjna (SN)</w:t>
      </w:r>
      <w:r w:rsidRPr="004F057F">
        <w:rPr>
          <w:rFonts w:ascii="Calibri" w:hAnsi="Calibri" w:cs="Arial"/>
          <w:sz w:val="24"/>
          <w:szCs w:val="24"/>
        </w:rPr>
        <w:t xml:space="preserve"> – obszar geograficzny, dla którego ustalono wskaźnik strefy numeracyjnej w PNK.</w:t>
      </w:r>
    </w:p>
    <w:p w:rsidR="00CE5F19" w:rsidRPr="00505BA9" w:rsidRDefault="00331F85" w:rsidP="00082560">
      <w:pPr>
        <w:numPr>
          <w:ilvl w:val="0"/>
          <w:numId w:val="4"/>
        </w:numPr>
        <w:spacing w:line="276" w:lineRule="auto"/>
        <w:rPr>
          <w:rFonts w:ascii="Calibri" w:hAnsi="Calibri" w:cs="Times New Roman"/>
          <w:sz w:val="24"/>
          <w:szCs w:val="24"/>
          <w:lang w:eastAsia="pl-PL"/>
        </w:rPr>
      </w:pPr>
      <w:r w:rsidRPr="00331F85">
        <w:rPr>
          <w:rFonts w:ascii="Calibri" w:hAnsi="Calibri" w:cs="Times New Roman"/>
          <w:b/>
          <w:sz w:val="24"/>
          <w:szCs w:val="24"/>
          <w:lang w:eastAsia="pl-PL"/>
        </w:rPr>
        <w:t>Udostępnianie numeracji</w:t>
      </w:r>
      <w:r>
        <w:rPr>
          <w:rFonts w:ascii="Calibri" w:hAnsi="Calibri" w:cs="Times New Roman"/>
          <w:sz w:val="24"/>
          <w:szCs w:val="24"/>
          <w:lang w:eastAsia="pl-PL"/>
        </w:rPr>
        <w:t xml:space="preserve"> – </w:t>
      </w:r>
      <w:r w:rsidR="00CE5F19">
        <w:rPr>
          <w:rFonts w:ascii="Calibri" w:hAnsi="Calibri" w:cs="Times New Roman"/>
          <w:sz w:val="24"/>
          <w:szCs w:val="24"/>
          <w:lang w:eastAsia="pl-PL"/>
        </w:rPr>
        <w:t xml:space="preserve">czynność prawna (umowa), dokonywana pomiędzy </w:t>
      </w:r>
      <w:r w:rsidR="000A4162">
        <w:rPr>
          <w:rFonts w:ascii="Calibri" w:hAnsi="Calibri" w:cs="Times New Roman"/>
          <w:sz w:val="24"/>
          <w:szCs w:val="24"/>
          <w:lang w:eastAsia="pl-PL"/>
        </w:rPr>
        <w:t>P</w:t>
      </w:r>
      <w:r w:rsidR="00CE5F19">
        <w:rPr>
          <w:rFonts w:ascii="Calibri" w:hAnsi="Calibri" w:cs="Times New Roman"/>
          <w:sz w:val="24"/>
          <w:szCs w:val="24"/>
          <w:lang w:eastAsia="pl-PL"/>
        </w:rPr>
        <w:t xml:space="preserve">rzedsiębiorcą </w:t>
      </w:r>
      <w:r w:rsidR="00B83960">
        <w:rPr>
          <w:rFonts w:ascii="Calibri" w:hAnsi="Calibri" w:cs="Times New Roman"/>
          <w:sz w:val="24"/>
          <w:szCs w:val="24"/>
          <w:lang w:eastAsia="pl-PL"/>
        </w:rPr>
        <w:t>T</w:t>
      </w:r>
      <w:r w:rsidR="00CE5F19">
        <w:rPr>
          <w:rFonts w:ascii="Calibri" w:hAnsi="Calibri" w:cs="Times New Roman"/>
          <w:sz w:val="24"/>
          <w:szCs w:val="24"/>
          <w:lang w:eastAsia="pl-PL"/>
        </w:rPr>
        <w:t>elekomunikacyjnym, będącym dysponentem numeracji na podstawie decyzji Prezesa UKE</w:t>
      </w:r>
      <w:r w:rsidR="000A4162">
        <w:rPr>
          <w:rFonts w:ascii="Calibri" w:hAnsi="Calibri" w:cs="Times New Roman"/>
          <w:sz w:val="24"/>
          <w:szCs w:val="24"/>
          <w:lang w:eastAsia="pl-PL"/>
        </w:rPr>
        <w:t>,</w:t>
      </w:r>
      <w:r w:rsidR="00CE5F19">
        <w:rPr>
          <w:rFonts w:ascii="Calibri" w:hAnsi="Calibri" w:cs="Times New Roman"/>
          <w:sz w:val="24"/>
          <w:szCs w:val="24"/>
          <w:lang w:eastAsia="pl-PL"/>
        </w:rPr>
        <w:t xml:space="preserve"> a innym </w:t>
      </w:r>
      <w:r w:rsidR="000A4162">
        <w:rPr>
          <w:rFonts w:ascii="Calibri" w:hAnsi="Calibri" w:cs="Times New Roman"/>
          <w:sz w:val="24"/>
          <w:szCs w:val="24"/>
          <w:lang w:eastAsia="pl-PL"/>
        </w:rPr>
        <w:t>P</w:t>
      </w:r>
      <w:r w:rsidR="00CE5F19">
        <w:rPr>
          <w:rFonts w:ascii="Calibri" w:hAnsi="Calibri" w:cs="Times New Roman"/>
          <w:sz w:val="24"/>
          <w:szCs w:val="24"/>
          <w:lang w:eastAsia="pl-PL"/>
        </w:rPr>
        <w:t xml:space="preserve">rzedsiębiorcą </w:t>
      </w:r>
      <w:r w:rsidR="00B83960">
        <w:rPr>
          <w:rFonts w:ascii="Calibri" w:hAnsi="Calibri" w:cs="Times New Roman"/>
          <w:sz w:val="24"/>
          <w:szCs w:val="24"/>
          <w:lang w:eastAsia="pl-PL"/>
        </w:rPr>
        <w:t>T</w:t>
      </w:r>
      <w:r w:rsidR="00CE5F19">
        <w:rPr>
          <w:rFonts w:ascii="Calibri" w:hAnsi="Calibri" w:cs="Times New Roman"/>
          <w:sz w:val="24"/>
          <w:szCs w:val="24"/>
          <w:lang w:eastAsia="pl-PL"/>
        </w:rPr>
        <w:t xml:space="preserve">elekomunikacyjnym, w wyniku której </w:t>
      </w:r>
      <w:r w:rsidR="003631B1">
        <w:rPr>
          <w:rFonts w:ascii="Calibri" w:hAnsi="Calibri" w:cs="Times New Roman"/>
          <w:sz w:val="24"/>
          <w:szCs w:val="24"/>
          <w:lang w:eastAsia="pl-PL"/>
        </w:rPr>
        <w:t>przedsiębiorca taki uzyskuje uprawnienie do</w:t>
      </w:r>
      <w:r w:rsidR="00CE5F19">
        <w:rPr>
          <w:rFonts w:ascii="Calibri" w:hAnsi="Calibri" w:cs="Times New Roman"/>
          <w:sz w:val="24"/>
          <w:szCs w:val="24"/>
          <w:lang w:eastAsia="pl-PL"/>
        </w:rPr>
        <w:t xml:space="preserve"> korzystania z określonej numeracji</w:t>
      </w:r>
      <w:r w:rsidR="000A4162">
        <w:rPr>
          <w:rFonts w:ascii="Calibri" w:hAnsi="Calibri" w:cs="Times New Roman"/>
          <w:sz w:val="24"/>
          <w:szCs w:val="24"/>
          <w:lang w:eastAsia="pl-PL"/>
        </w:rPr>
        <w:t xml:space="preserve"> w celach określonych w takiej umowie</w:t>
      </w:r>
      <w:r w:rsidR="003631B1">
        <w:rPr>
          <w:rFonts w:ascii="Calibri" w:hAnsi="Calibri" w:cs="Times New Roman"/>
          <w:sz w:val="24"/>
          <w:szCs w:val="24"/>
          <w:lang w:eastAsia="pl-PL"/>
        </w:rPr>
        <w:t>.</w:t>
      </w:r>
    </w:p>
    <w:p w:rsidR="00082560" w:rsidRPr="00082560" w:rsidRDefault="00082560" w:rsidP="00082560">
      <w:pPr>
        <w:numPr>
          <w:ilvl w:val="0"/>
          <w:numId w:val="4"/>
        </w:numPr>
        <w:spacing w:line="276" w:lineRule="auto"/>
        <w:rPr>
          <w:rFonts w:ascii="Calibri" w:hAnsi="Calibri" w:cs="Times New Roman"/>
          <w:sz w:val="24"/>
          <w:szCs w:val="24"/>
          <w:lang w:eastAsia="pl-PL"/>
        </w:rPr>
      </w:pPr>
      <w:r w:rsidRPr="00082560">
        <w:rPr>
          <w:rFonts w:ascii="Calibri" w:hAnsi="Calibri" w:cs="Times New Roman"/>
          <w:b/>
          <w:sz w:val="24"/>
          <w:szCs w:val="24"/>
          <w:lang w:eastAsia="pl-PL"/>
        </w:rPr>
        <w:t>Umowa</w:t>
      </w:r>
      <w:r w:rsidRPr="00082560">
        <w:rPr>
          <w:rFonts w:ascii="Calibri" w:hAnsi="Calibri" w:cs="Times New Roman"/>
          <w:sz w:val="24"/>
          <w:szCs w:val="24"/>
          <w:lang w:eastAsia="pl-PL"/>
        </w:rPr>
        <w:t xml:space="preserve"> – umowa z dnia 10 kwietnia 2014 r. zawarta pomiędzy Zamawiającym i Wykonawcą</w:t>
      </w:r>
      <w:r w:rsidR="00844E40">
        <w:rPr>
          <w:rFonts w:ascii="Calibri" w:hAnsi="Calibri" w:cs="Times New Roman"/>
          <w:sz w:val="24"/>
          <w:szCs w:val="24"/>
          <w:lang w:eastAsia="pl-PL"/>
        </w:rPr>
        <w:t xml:space="preserve"> PLI CBD2</w:t>
      </w:r>
      <w:r w:rsidRPr="00082560">
        <w:rPr>
          <w:rFonts w:ascii="Calibri" w:hAnsi="Calibri" w:cs="Times New Roman"/>
          <w:sz w:val="24"/>
          <w:szCs w:val="24"/>
          <w:lang w:eastAsia="pl-PL"/>
        </w:rPr>
        <w:t xml:space="preserve">. </w:t>
      </w:r>
    </w:p>
    <w:p w:rsidR="00A67F39" w:rsidRPr="00A67F39" w:rsidRDefault="00A67F39" w:rsidP="00A67F39">
      <w:pPr>
        <w:pStyle w:val="Lista2"/>
        <w:numPr>
          <w:ilvl w:val="0"/>
          <w:numId w:val="4"/>
        </w:numPr>
        <w:spacing w:line="276" w:lineRule="auto"/>
        <w:jc w:val="both"/>
        <w:rPr>
          <w:rFonts w:ascii="Calibri" w:hAnsi="Calibri" w:cs="Arial"/>
          <w:sz w:val="24"/>
          <w:szCs w:val="24"/>
        </w:rPr>
      </w:pPr>
      <w:r w:rsidRPr="00A67F39">
        <w:rPr>
          <w:rFonts w:ascii="Calibri" w:hAnsi="Calibri" w:cs="Arial"/>
          <w:b/>
          <w:bCs/>
          <w:sz w:val="24"/>
          <w:szCs w:val="24"/>
        </w:rPr>
        <w:t xml:space="preserve">Umowa o Dostępie </w:t>
      </w:r>
      <w:r w:rsidRPr="00A67F39">
        <w:rPr>
          <w:rFonts w:ascii="Calibri" w:hAnsi="Calibri" w:cs="Arial"/>
          <w:sz w:val="24"/>
          <w:szCs w:val="24"/>
        </w:rPr>
        <w:t xml:space="preserve">– umowa pomiędzy </w:t>
      </w:r>
      <w:r w:rsidR="006F48D3">
        <w:rPr>
          <w:rFonts w:ascii="Calibri" w:hAnsi="Calibri" w:cs="Arial"/>
          <w:sz w:val="24"/>
          <w:szCs w:val="24"/>
        </w:rPr>
        <w:t>Operatorem Infrastrukturalnym</w:t>
      </w:r>
      <w:r w:rsidR="006F48D3" w:rsidRPr="00A67F39">
        <w:rPr>
          <w:rFonts w:ascii="Calibri" w:hAnsi="Calibri" w:cs="Arial"/>
          <w:sz w:val="24"/>
          <w:szCs w:val="24"/>
        </w:rPr>
        <w:t xml:space="preserve"> </w:t>
      </w:r>
      <w:r w:rsidRPr="00A67F39">
        <w:rPr>
          <w:rFonts w:ascii="Calibri" w:hAnsi="Calibri" w:cs="Arial"/>
          <w:sz w:val="24"/>
          <w:szCs w:val="24"/>
        </w:rPr>
        <w:t>a PT</w:t>
      </w:r>
      <w:r w:rsidR="0030324B">
        <w:rPr>
          <w:rFonts w:ascii="Calibri" w:hAnsi="Calibri" w:cs="Arial"/>
          <w:sz w:val="24"/>
          <w:szCs w:val="24"/>
        </w:rPr>
        <w:t>,</w:t>
      </w:r>
      <w:r w:rsidRPr="00A67F39">
        <w:rPr>
          <w:rFonts w:ascii="Calibri" w:hAnsi="Calibri" w:cs="Arial"/>
          <w:sz w:val="24"/>
          <w:szCs w:val="24"/>
        </w:rPr>
        <w:t xml:space="preserve"> określająca zasady świadczenia Usługi hurtowej </w:t>
      </w:r>
      <w:r w:rsidR="0030324B">
        <w:rPr>
          <w:rFonts w:ascii="Calibri" w:hAnsi="Calibri" w:cs="Arial"/>
          <w:sz w:val="24"/>
          <w:szCs w:val="24"/>
        </w:rPr>
        <w:t xml:space="preserve">w publicznej stacjonarnej sieci telekomunikacyjnej </w:t>
      </w:r>
      <w:r w:rsidRPr="00A67F39">
        <w:rPr>
          <w:rFonts w:ascii="Calibri" w:hAnsi="Calibri" w:cs="Arial"/>
          <w:sz w:val="24"/>
          <w:szCs w:val="24"/>
        </w:rPr>
        <w:t>(BSA, LLU, WLR)</w:t>
      </w:r>
      <w:r w:rsidR="0030324B">
        <w:rPr>
          <w:rFonts w:ascii="Calibri" w:hAnsi="Calibri" w:cs="Arial"/>
          <w:sz w:val="24"/>
          <w:szCs w:val="24"/>
        </w:rPr>
        <w:t xml:space="preserve"> lub </w:t>
      </w:r>
      <w:r w:rsidR="006F48D3">
        <w:rPr>
          <w:rFonts w:ascii="Calibri" w:hAnsi="Calibri" w:cs="Arial"/>
          <w:sz w:val="24"/>
          <w:szCs w:val="24"/>
        </w:rPr>
        <w:t xml:space="preserve">w </w:t>
      </w:r>
      <w:r w:rsidR="0030324B">
        <w:rPr>
          <w:rFonts w:ascii="Calibri" w:hAnsi="Calibri" w:cs="Arial"/>
          <w:sz w:val="24"/>
          <w:szCs w:val="24"/>
        </w:rPr>
        <w:t xml:space="preserve">publicznej </w:t>
      </w:r>
      <w:r w:rsidR="008F0038">
        <w:rPr>
          <w:rFonts w:ascii="Calibri" w:hAnsi="Calibri" w:cs="Arial"/>
          <w:sz w:val="24"/>
          <w:szCs w:val="24"/>
        </w:rPr>
        <w:t xml:space="preserve"> </w:t>
      </w:r>
      <w:r w:rsidR="006F48D3">
        <w:rPr>
          <w:rFonts w:ascii="Calibri" w:hAnsi="Calibri" w:cs="Arial"/>
          <w:sz w:val="24"/>
          <w:szCs w:val="24"/>
        </w:rPr>
        <w:t>ruchom</w:t>
      </w:r>
      <w:r w:rsidR="0030324B">
        <w:rPr>
          <w:rFonts w:ascii="Calibri" w:hAnsi="Calibri" w:cs="Arial"/>
          <w:sz w:val="24"/>
          <w:szCs w:val="24"/>
        </w:rPr>
        <w:t>ej sieci telekomunikacyjnej</w:t>
      </w:r>
      <w:r w:rsidR="006F48D3">
        <w:rPr>
          <w:rFonts w:ascii="Calibri" w:hAnsi="Calibri" w:cs="Arial"/>
          <w:sz w:val="24"/>
          <w:szCs w:val="24"/>
        </w:rPr>
        <w:t>.</w:t>
      </w:r>
    </w:p>
    <w:p w:rsidR="004567BF" w:rsidRPr="004F057F" w:rsidRDefault="004567BF" w:rsidP="00F02BFE">
      <w:pPr>
        <w:pStyle w:val="Lista2"/>
        <w:numPr>
          <w:ilvl w:val="0"/>
          <w:numId w:val="4"/>
        </w:numPr>
        <w:spacing w:line="276" w:lineRule="auto"/>
        <w:jc w:val="both"/>
        <w:rPr>
          <w:rFonts w:ascii="Calibri" w:hAnsi="Calibri"/>
          <w:sz w:val="24"/>
          <w:szCs w:val="24"/>
        </w:rPr>
      </w:pPr>
      <w:r w:rsidRPr="004F057F">
        <w:rPr>
          <w:rFonts w:ascii="Calibri" w:hAnsi="Calibri"/>
          <w:b/>
          <w:sz w:val="24"/>
          <w:szCs w:val="24"/>
        </w:rPr>
        <w:t>Usługa Abonencka</w:t>
      </w:r>
      <w:r w:rsidRPr="004F057F">
        <w:rPr>
          <w:rFonts w:ascii="Calibri" w:hAnsi="Calibri"/>
          <w:sz w:val="24"/>
          <w:szCs w:val="24"/>
        </w:rPr>
        <w:t xml:space="preserve"> – usługa telekomunikacyjna, świadczona Abonentowi przez </w:t>
      </w:r>
      <w:r w:rsidR="000A4162">
        <w:rPr>
          <w:rFonts w:ascii="Calibri" w:hAnsi="Calibri"/>
          <w:sz w:val="24"/>
          <w:szCs w:val="24"/>
        </w:rPr>
        <w:t xml:space="preserve">Dostawcę usług </w:t>
      </w:r>
      <w:r w:rsidRPr="004F057F">
        <w:rPr>
          <w:rFonts w:ascii="Calibri" w:hAnsi="Calibri"/>
          <w:sz w:val="24"/>
          <w:szCs w:val="24"/>
        </w:rPr>
        <w:t xml:space="preserve"> na podstawie </w:t>
      </w:r>
      <w:r w:rsidR="007E2932">
        <w:rPr>
          <w:rFonts w:ascii="Calibri" w:hAnsi="Calibri"/>
          <w:sz w:val="24"/>
          <w:szCs w:val="24"/>
        </w:rPr>
        <w:t>u</w:t>
      </w:r>
      <w:r w:rsidRPr="004F057F">
        <w:rPr>
          <w:rFonts w:ascii="Calibri" w:hAnsi="Calibri"/>
          <w:sz w:val="24"/>
          <w:szCs w:val="24"/>
        </w:rPr>
        <w:t>mowy</w:t>
      </w:r>
      <w:r w:rsidR="007E2932">
        <w:rPr>
          <w:rFonts w:ascii="Calibri" w:hAnsi="Calibri"/>
          <w:sz w:val="24"/>
          <w:szCs w:val="24"/>
        </w:rPr>
        <w:t xml:space="preserve"> o świadczenie usług telekomunikacyjnych zawartej z Abonentem</w:t>
      </w:r>
      <w:r w:rsidRPr="004F057F">
        <w:rPr>
          <w:rFonts w:ascii="Calibri" w:hAnsi="Calibri"/>
          <w:sz w:val="24"/>
          <w:szCs w:val="24"/>
        </w:rPr>
        <w:t>.</w:t>
      </w:r>
    </w:p>
    <w:p w:rsidR="004567BF" w:rsidRPr="004F057F" w:rsidRDefault="004567BF" w:rsidP="00F02BFE">
      <w:pPr>
        <w:pStyle w:val="Lista2"/>
        <w:numPr>
          <w:ilvl w:val="0"/>
          <w:numId w:val="4"/>
        </w:numPr>
        <w:spacing w:line="276" w:lineRule="auto"/>
        <w:jc w:val="both"/>
        <w:rPr>
          <w:rFonts w:ascii="Calibri" w:hAnsi="Calibri"/>
          <w:sz w:val="24"/>
          <w:szCs w:val="24"/>
        </w:rPr>
      </w:pPr>
      <w:r w:rsidRPr="004F057F">
        <w:rPr>
          <w:rFonts w:ascii="Calibri" w:hAnsi="Calibri"/>
          <w:b/>
          <w:sz w:val="24"/>
          <w:szCs w:val="24"/>
        </w:rPr>
        <w:t>Usługa LLU</w:t>
      </w:r>
      <w:r w:rsidRPr="004F057F">
        <w:rPr>
          <w:rFonts w:ascii="Calibri" w:hAnsi="Calibri"/>
          <w:sz w:val="24"/>
          <w:szCs w:val="24"/>
        </w:rPr>
        <w:t xml:space="preserve"> </w:t>
      </w:r>
      <w:r w:rsidR="00D43892">
        <w:rPr>
          <w:rFonts w:ascii="Calibri" w:hAnsi="Calibri"/>
          <w:sz w:val="24"/>
          <w:szCs w:val="24"/>
        </w:rPr>
        <w:t xml:space="preserve">lub </w:t>
      </w:r>
      <w:r w:rsidR="00D43892" w:rsidRPr="009762FC">
        <w:rPr>
          <w:rFonts w:ascii="Calibri" w:hAnsi="Calibri"/>
          <w:b/>
          <w:sz w:val="24"/>
          <w:szCs w:val="24"/>
        </w:rPr>
        <w:t>LLU</w:t>
      </w:r>
      <w:r w:rsidR="00D43892">
        <w:rPr>
          <w:rFonts w:ascii="Calibri" w:hAnsi="Calibri"/>
          <w:sz w:val="24"/>
          <w:szCs w:val="24"/>
        </w:rPr>
        <w:t xml:space="preserve"> </w:t>
      </w:r>
      <w:r w:rsidRPr="004F057F">
        <w:rPr>
          <w:rFonts w:ascii="Calibri" w:hAnsi="Calibri"/>
          <w:sz w:val="24"/>
          <w:szCs w:val="24"/>
        </w:rPr>
        <w:t>– usługa dostępu telekomunikacyjnego w zakresie Dostępu Pełnego i Współdzielonego do Łącza Abonenckiego.</w:t>
      </w:r>
    </w:p>
    <w:p w:rsidR="004567BF" w:rsidRPr="004F057F" w:rsidRDefault="004567BF" w:rsidP="00F02BFE">
      <w:pPr>
        <w:pStyle w:val="Lista2"/>
        <w:numPr>
          <w:ilvl w:val="0"/>
          <w:numId w:val="4"/>
        </w:numPr>
        <w:spacing w:line="276" w:lineRule="auto"/>
        <w:jc w:val="both"/>
        <w:rPr>
          <w:rFonts w:ascii="Calibri" w:hAnsi="Calibri"/>
          <w:b/>
          <w:sz w:val="24"/>
          <w:szCs w:val="24"/>
        </w:rPr>
      </w:pPr>
      <w:r w:rsidRPr="004F057F">
        <w:rPr>
          <w:rFonts w:ascii="Calibri" w:hAnsi="Calibri"/>
          <w:b/>
          <w:sz w:val="24"/>
          <w:szCs w:val="24"/>
        </w:rPr>
        <w:t xml:space="preserve">Usługa </w:t>
      </w:r>
      <w:r w:rsidR="00D43892">
        <w:rPr>
          <w:rFonts w:ascii="Calibri" w:hAnsi="Calibri"/>
          <w:b/>
          <w:sz w:val="24"/>
          <w:szCs w:val="24"/>
        </w:rPr>
        <w:t>H</w:t>
      </w:r>
      <w:r w:rsidRPr="004F057F">
        <w:rPr>
          <w:rFonts w:ascii="Calibri" w:hAnsi="Calibri"/>
          <w:b/>
          <w:sz w:val="24"/>
          <w:szCs w:val="24"/>
        </w:rPr>
        <w:t xml:space="preserve">urtowa </w:t>
      </w:r>
      <w:r w:rsidRPr="004F057F">
        <w:rPr>
          <w:rFonts w:ascii="Calibri" w:hAnsi="Calibri"/>
          <w:sz w:val="24"/>
          <w:szCs w:val="24"/>
        </w:rPr>
        <w:t xml:space="preserve">– usługa telekomunikacyjna </w:t>
      </w:r>
      <w:r w:rsidR="00B52EF5" w:rsidRPr="004F057F">
        <w:rPr>
          <w:rFonts w:ascii="Calibri" w:hAnsi="Calibri"/>
          <w:sz w:val="24"/>
          <w:szCs w:val="24"/>
        </w:rPr>
        <w:t>świadczon</w:t>
      </w:r>
      <w:r w:rsidR="0030324B">
        <w:rPr>
          <w:rFonts w:ascii="Calibri" w:hAnsi="Calibri"/>
          <w:sz w:val="24"/>
          <w:szCs w:val="24"/>
        </w:rPr>
        <w:t>a</w:t>
      </w:r>
      <w:r w:rsidR="00B52EF5" w:rsidRPr="004F057F">
        <w:rPr>
          <w:rFonts w:ascii="Calibri" w:hAnsi="Calibri"/>
          <w:sz w:val="24"/>
          <w:szCs w:val="24"/>
        </w:rPr>
        <w:t xml:space="preserve"> przez </w:t>
      </w:r>
      <w:r w:rsidR="00842781">
        <w:rPr>
          <w:rFonts w:ascii="Calibri" w:hAnsi="Calibri"/>
          <w:sz w:val="24"/>
          <w:szCs w:val="24"/>
        </w:rPr>
        <w:t>Operatora Infrastrukturalnego</w:t>
      </w:r>
      <w:r w:rsidRPr="004F057F">
        <w:rPr>
          <w:rFonts w:ascii="Calibri" w:hAnsi="Calibri"/>
          <w:sz w:val="24"/>
          <w:szCs w:val="24"/>
        </w:rPr>
        <w:t xml:space="preserve"> na rzecz PT </w:t>
      </w:r>
      <w:r w:rsidR="0030324B">
        <w:rPr>
          <w:rFonts w:ascii="Calibri" w:hAnsi="Calibri"/>
          <w:sz w:val="24"/>
          <w:szCs w:val="24"/>
        </w:rPr>
        <w:t>na podstawie odpowiedniej</w:t>
      </w:r>
      <w:r w:rsidR="008F0038">
        <w:rPr>
          <w:rFonts w:ascii="Calibri" w:hAnsi="Calibri"/>
          <w:sz w:val="24"/>
          <w:szCs w:val="24"/>
        </w:rPr>
        <w:t xml:space="preserve"> U</w:t>
      </w:r>
      <w:r w:rsidR="0030324B">
        <w:rPr>
          <w:rFonts w:ascii="Calibri" w:hAnsi="Calibri"/>
          <w:sz w:val="24"/>
          <w:szCs w:val="24"/>
        </w:rPr>
        <w:t xml:space="preserve">mowy o </w:t>
      </w:r>
      <w:r w:rsidR="008F0038">
        <w:rPr>
          <w:rFonts w:ascii="Calibri" w:hAnsi="Calibri"/>
          <w:sz w:val="24"/>
          <w:szCs w:val="24"/>
        </w:rPr>
        <w:t>D</w:t>
      </w:r>
      <w:r w:rsidR="0030324B">
        <w:rPr>
          <w:rFonts w:ascii="Calibri" w:hAnsi="Calibri"/>
          <w:sz w:val="24"/>
          <w:szCs w:val="24"/>
        </w:rPr>
        <w:t xml:space="preserve">ostępie, </w:t>
      </w:r>
      <w:r w:rsidR="007E2932">
        <w:rPr>
          <w:rFonts w:ascii="Calibri" w:hAnsi="Calibri"/>
          <w:sz w:val="24"/>
          <w:szCs w:val="24"/>
        </w:rPr>
        <w:t xml:space="preserve">zawartej </w:t>
      </w:r>
      <w:r w:rsidRPr="004F057F">
        <w:rPr>
          <w:rFonts w:ascii="Calibri" w:hAnsi="Calibri"/>
          <w:sz w:val="24"/>
          <w:szCs w:val="24"/>
        </w:rPr>
        <w:t>w celu</w:t>
      </w:r>
      <w:r w:rsidR="007E2932">
        <w:rPr>
          <w:rFonts w:ascii="Calibri" w:hAnsi="Calibri"/>
          <w:sz w:val="24"/>
          <w:szCs w:val="24"/>
        </w:rPr>
        <w:t xml:space="preserve"> umożliwienia</w:t>
      </w:r>
      <w:r w:rsidR="0030324B">
        <w:rPr>
          <w:rFonts w:ascii="Calibri" w:hAnsi="Calibri"/>
          <w:sz w:val="24"/>
          <w:szCs w:val="24"/>
        </w:rPr>
        <w:t xml:space="preserve"> PT </w:t>
      </w:r>
      <w:r w:rsidRPr="004F057F">
        <w:rPr>
          <w:rFonts w:ascii="Calibri" w:hAnsi="Calibri"/>
          <w:sz w:val="24"/>
          <w:szCs w:val="24"/>
        </w:rPr>
        <w:t xml:space="preserve"> świadczenia </w:t>
      </w:r>
      <w:r w:rsidR="0030324B">
        <w:rPr>
          <w:rFonts w:ascii="Calibri" w:hAnsi="Calibri"/>
          <w:sz w:val="24"/>
          <w:szCs w:val="24"/>
        </w:rPr>
        <w:t xml:space="preserve">przez niego usług telekomunikacyjnych na rzecz </w:t>
      </w:r>
      <w:r w:rsidR="007E2932">
        <w:rPr>
          <w:rFonts w:ascii="Calibri" w:hAnsi="Calibri"/>
          <w:sz w:val="24"/>
          <w:szCs w:val="24"/>
        </w:rPr>
        <w:t xml:space="preserve">jego </w:t>
      </w:r>
      <w:r w:rsidR="0030324B">
        <w:rPr>
          <w:rFonts w:ascii="Calibri" w:hAnsi="Calibri"/>
          <w:sz w:val="24"/>
          <w:szCs w:val="24"/>
        </w:rPr>
        <w:t xml:space="preserve">Abonentów lub </w:t>
      </w:r>
      <w:r w:rsidR="007E2932">
        <w:rPr>
          <w:rFonts w:ascii="Calibri" w:hAnsi="Calibri"/>
          <w:sz w:val="24"/>
          <w:szCs w:val="24"/>
        </w:rPr>
        <w:t>na rzecz na rzecz innego (innych)</w:t>
      </w:r>
      <w:r w:rsidR="0030324B">
        <w:rPr>
          <w:rFonts w:ascii="Calibri" w:hAnsi="Calibri"/>
          <w:sz w:val="24"/>
          <w:szCs w:val="24"/>
        </w:rPr>
        <w:t xml:space="preserve"> PT, </w:t>
      </w:r>
      <w:r w:rsidR="007E2932">
        <w:rPr>
          <w:rFonts w:ascii="Calibri" w:hAnsi="Calibri"/>
          <w:sz w:val="24"/>
          <w:szCs w:val="24"/>
        </w:rPr>
        <w:t>zawierającego U</w:t>
      </w:r>
      <w:r w:rsidR="0030324B">
        <w:rPr>
          <w:rFonts w:ascii="Calibri" w:hAnsi="Calibri"/>
          <w:sz w:val="24"/>
          <w:szCs w:val="24"/>
        </w:rPr>
        <w:t xml:space="preserve">mowy o świadczenie usług telekomunikacyjnych z ich Abonentami (tzw. odsprzedaż Usługi Hurtowej) </w:t>
      </w:r>
      <w:r w:rsidRPr="004F057F">
        <w:rPr>
          <w:rFonts w:ascii="Calibri" w:hAnsi="Calibri"/>
          <w:sz w:val="24"/>
          <w:szCs w:val="24"/>
        </w:rPr>
        <w:t xml:space="preserve">, </w:t>
      </w:r>
      <w:r w:rsidR="00D43892">
        <w:rPr>
          <w:rFonts w:ascii="Calibri" w:hAnsi="Calibri"/>
          <w:sz w:val="24"/>
          <w:szCs w:val="24"/>
        </w:rPr>
        <w:t xml:space="preserve">(Usługa WLR, </w:t>
      </w:r>
      <w:r w:rsidR="00D43892" w:rsidRPr="002B0DC5">
        <w:rPr>
          <w:rFonts w:ascii="Calibri" w:hAnsi="Calibri"/>
          <w:sz w:val="24"/>
          <w:szCs w:val="24"/>
        </w:rPr>
        <w:t>Usługa BSA</w:t>
      </w:r>
      <w:r w:rsidR="00D43892">
        <w:rPr>
          <w:rFonts w:ascii="Calibri" w:hAnsi="Calibri"/>
          <w:sz w:val="24"/>
          <w:szCs w:val="24"/>
        </w:rPr>
        <w:t>, Usługa LLU)</w:t>
      </w:r>
      <w:r w:rsidRPr="004F057F">
        <w:rPr>
          <w:rFonts w:ascii="Calibri" w:hAnsi="Calibri"/>
          <w:sz w:val="24"/>
          <w:szCs w:val="24"/>
        </w:rPr>
        <w:t>.</w:t>
      </w:r>
    </w:p>
    <w:p w:rsidR="00B52EF5" w:rsidRPr="004F057F" w:rsidRDefault="004567BF" w:rsidP="00F02BFE">
      <w:pPr>
        <w:pStyle w:val="Lista2"/>
        <w:numPr>
          <w:ilvl w:val="0"/>
          <w:numId w:val="4"/>
        </w:numPr>
        <w:spacing w:line="276" w:lineRule="auto"/>
        <w:jc w:val="both"/>
        <w:rPr>
          <w:rFonts w:ascii="Calibri" w:hAnsi="Calibri"/>
          <w:sz w:val="24"/>
          <w:szCs w:val="24"/>
        </w:rPr>
      </w:pPr>
      <w:r w:rsidRPr="004F057F">
        <w:rPr>
          <w:rFonts w:ascii="Calibri" w:hAnsi="Calibri"/>
          <w:b/>
          <w:sz w:val="24"/>
          <w:szCs w:val="24"/>
        </w:rPr>
        <w:t>Usług</w:t>
      </w:r>
      <w:r w:rsidR="0030324B">
        <w:rPr>
          <w:rFonts w:ascii="Calibri" w:hAnsi="Calibri"/>
          <w:b/>
          <w:sz w:val="24"/>
          <w:szCs w:val="24"/>
        </w:rPr>
        <w:t>i</w:t>
      </w:r>
      <w:r w:rsidRPr="004F057F">
        <w:rPr>
          <w:rFonts w:ascii="Calibri" w:hAnsi="Calibri"/>
          <w:b/>
          <w:sz w:val="24"/>
          <w:szCs w:val="24"/>
        </w:rPr>
        <w:t xml:space="preserve"> Regulowan</w:t>
      </w:r>
      <w:r w:rsidR="0030324B">
        <w:rPr>
          <w:rFonts w:ascii="Calibri" w:hAnsi="Calibri"/>
          <w:b/>
          <w:sz w:val="24"/>
          <w:szCs w:val="24"/>
        </w:rPr>
        <w:t>e</w:t>
      </w:r>
      <w:r w:rsidRPr="004F057F">
        <w:rPr>
          <w:rFonts w:ascii="Calibri" w:hAnsi="Calibri"/>
          <w:sz w:val="24"/>
          <w:szCs w:val="24"/>
        </w:rPr>
        <w:t xml:space="preserve"> – usługi w przedmiocie dostępu telekomunikacyjnego, świadczone przez </w:t>
      </w:r>
      <w:r w:rsidR="000A4162">
        <w:rPr>
          <w:rFonts w:ascii="Calibri" w:hAnsi="Calibri"/>
          <w:sz w:val="24"/>
          <w:szCs w:val="24"/>
        </w:rPr>
        <w:t>OPL</w:t>
      </w:r>
      <w:r w:rsidRPr="004F057F">
        <w:rPr>
          <w:rFonts w:ascii="Calibri" w:hAnsi="Calibri"/>
          <w:sz w:val="24"/>
          <w:szCs w:val="24"/>
        </w:rPr>
        <w:t xml:space="preserve"> na poszczególnych </w:t>
      </w:r>
      <w:r w:rsidR="00B52EF5" w:rsidRPr="004F057F">
        <w:rPr>
          <w:rFonts w:ascii="Calibri" w:hAnsi="Calibri"/>
          <w:sz w:val="24"/>
          <w:szCs w:val="24"/>
        </w:rPr>
        <w:t>rynkach właściwych, na których O</w:t>
      </w:r>
      <w:r w:rsidRPr="004F057F">
        <w:rPr>
          <w:rFonts w:ascii="Calibri" w:hAnsi="Calibri"/>
          <w:sz w:val="24"/>
          <w:szCs w:val="24"/>
        </w:rPr>
        <w:t>P</w:t>
      </w:r>
      <w:r w:rsidR="00B52EF5" w:rsidRPr="004F057F">
        <w:rPr>
          <w:rFonts w:ascii="Calibri" w:hAnsi="Calibri"/>
          <w:sz w:val="24"/>
          <w:szCs w:val="24"/>
        </w:rPr>
        <w:t>L</w:t>
      </w:r>
      <w:r w:rsidRPr="004F057F">
        <w:rPr>
          <w:rFonts w:ascii="Calibri" w:hAnsi="Calibri"/>
          <w:sz w:val="24"/>
          <w:szCs w:val="24"/>
        </w:rPr>
        <w:t xml:space="preserve"> została wyznaczona jako operator posiadający znaczącą pozycję rynko</w:t>
      </w:r>
      <w:r w:rsidR="00B52EF5" w:rsidRPr="004F057F">
        <w:rPr>
          <w:rFonts w:ascii="Calibri" w:hAnsi="Calibri"/>
          <w:sz w:val="24"/>
          <w:szCs w:val="24"/>
        </w:rPr>
        <w:t>wą, lub do których świadczenia O</w:t>
      </w:r>
      <w:r w:rsidRPr="004F057F">
        <w:rPr>
          <w:rFonts w:ascii="Calibri" w:hAnsi="Calibri"/>
          <w:sz w:val="24"/>
          <w:szCs w:val="24"/>
        </w:rPr>
        <w:t>P</w:t>
      </w:r>
      <w:r w:rsidR="00B52EF5" w:rsidRPr="004F057F">
        <w:rPr>
          <w:rFonts w:ascii="Calibri" w:hAnsi="Calibri"/>
          <w:sz w:val="24"/>
          <w:szCs w:val="24"/>
        </w:rPr>
        <w:t>L</w:t>
      </w:r>
      <w:r w:rsidRPr="004F057F">
        <w:rPr>
          <w:rFonts w:ascii="Calibri" w:hAnsi="Calibri"/>
          <w:sz w:val="24"/>
          <w:szCs w:val="24"/>
        </w:rPr>
        <w:t xml:space="preserve"> obowiązana jest z mocy prawa, w szczególności: połączenia sieci i udogodnień towarzyszących (Usługa RIO), hurtowego dostępu do sieci (Usługa WLR), dostępu pełnego lub współdzielonego do Łącza Abonenckiego (Usługa LLU), dostępu do strumienia bitów (Usługa BSA).</w:t>
      </w:r>
    </w:p>
    <w:p w:rsidR="004567BF" w:rsidRPr="004F057F" w:rsidRDefault="004567BF" w:rsidP="00F02BFE">
      <w:pPr>
        <w:pStyle w:val="Lista2"/>
        <w:numPr>
          <w:ilvl w:val="0"/>
          <w:numId w:val="4"/>
        </w:numPr>
        <w:spacing w:line="276" w:lineRule="auto"/>
        <w:jc w:val="both"/>
        <w:rPr>
          <w:rFonts w:ascii="Calibri" w:hAnsi="Calibri"/>
          <w:sz w:val="24"/>
          <w:szCs w:val="24"/>
        </w:rPr>
      </w:pPr>
      <w:r w:rsidRPr="004F057F">
        <w:rPr>
          <w:rFonts w:ascii="Calibri" w:hAnsi="Calibri"/>
          <w:b/>
          <w:sz w:val="24"/>
          <w:szCs w:val="24"/>
        </w:rPr>
        <w:t xml:space="preserve">Usługa WLR </w:t>
      </w:r>
      <w:r w:rsidR="00D43892" w:rsidRPr="009762FC">
        <w:rPr>
          <w:rFonts w:ascii="Calibri" w:hAnsi="Calibri"/>
          <w:sz w:val="24"/>
          <w:szCs w:val="24"/>
        </w:rPr>
        <w:t>lub</w:t>
      </w:r>
      <w:r w:rsidR="00D43892">
        <w:rPr>
          <w:rFonts w:ascii="Calibri" w:hAnsi="Calibri"/>
          <w:b/>
          <w:sz w:val="24"/>
          <w:szCs w:val="24"/>
        </w:rPr>
        <w:t xml:space="preserve"> WLR </w:t>
      </w:r>
      <w:r w:rsidRPr="004F057F">
        <w:rPr>
          <w:rFonts w:ascii="Calibri" w:hAnsi="Calibri"/>
          <w:sz w:val="24"/>
          <w:szCs w:val="24"/>
        </w:rPr>
        <w:t xml:space="preserve">(ang. </w:t>
      </w:r>
      <w:proofErr w:type="spellStart"/>
      <w:r w:rsidRPr="004F057F">
        <w:rPr>
          <w:rFonts w:ascii="Calibri" w:hAnsi="Calibri"/>
          <w:sz w:val="24"/>
          <w:szCs w:val="24"/>
        </w:rPr>
        <w:t>Wholesale</w:t>
      </w:r>
      <w:proofErr w:type="spellEnd"/>
      <w:r w:rsidRPr="004F057F">
        <w:rPr>
          <w:rFonts w:ascii="Calibri" w:hAnsi="Calibri"/>
          <w:sz w:val="24"/>
          <w:szCs w:val="24"/>
        </w:rPr>
        <w:t xml:space="preserve"> Line </w:t>
      </w:r>
      <w:proofErr w:type="spellStart"/>
      <w:r w:rsidRPr="004F057F">
        <w:rPr>
          <w:rFonts w:ascii="Calibri" w:hAnsi="Calibri"/>
          <w:sz w:val="24"/>
          <w:szCs w:val="24"/>
        </w:rPr>
        <w:t>Rental</w:t>
      </w:r>
      <w:proofErr w:type="spellEnd"/>
      <w:r w:rsidRPr="004F057F">
        <w:rPr>
          <w:rFonts w:ascii="Calibri" w:hAnsi="Calibri"/>
          <w:sz w:val="24"/>
          <w:szCs w:val="24"/>
        </w:rPr>
        <w:t>) – oferowani</w:t>
      </w:r>
      <w:r w:rsidR="00B52EF5" w:rsidRPr="004F057F">
        <w:rPr>
          <w:rFonts w:ascii="Calibri" w:hAnsi="Calibri"/>
          <w:sz w:val="24"/>
          <w:szCs w:val="24"/>
        </w:rPr>
        <w:t>e na warunkach hurtowych przez O</w:t>
      </w:r>
      <w:r w:rsidRPr="004F057F">
        <w:rPr>
          <w:rFonts w:ascii="Calibri" w:hAnsi="Calibri"/>
          <w:sz w:val="24"/>
          <w:szCs w:val="24"/>
        </w:rPr>
        <w:t>P</w:t>
      </w:r>
      <w:r w:rsidR="00B52EF5" w:rsidRPr="004F057F">
        <w:rPr>
          <w:rFonts w:ascii="Calibri" w:hAnsi="Calibri"/>
          <w:sz w:val="24"/>
          <w:szCs w:val="24"/>
        </w:rPr>
        <w:t>L</w:t>
      </w:r>
      <w:r w:rsidRPr="004F057F">
        <w:rPr>
          <w:rFonts w:ascii="Calibri" w:hAnsi="Calibri"/>
          <w:sz w:val="24"/>
          <w:szCs w:val="24"/>
        </w:rPr>
        <w:t xml:space="preserve"> dla PT usług </w:t>
      </w:r>
      <w:r w:rsidR="00B52EF5" w:rsidRPr="004F057F">
        <w:rPr>
          <w:rFonts w:ascii="Calibri" w:hAnsi="Calibri"/>
          <w:sz w:val="24"/>
          <w:szCs w:val="24"/>
        </w:rPr>
        <w:t>głosowych świadczonych w Sieci O</w:t>
      </w:r>
      <w:r w:rsidRPr="004F057F">
        <w:rPr>
          <w:rFonts w:ascii="Calibri" w:hAnsi="Calibri"/>
          <w:sz w:val="24"/>
          <w:szCs w:val="24"/>
        </w:rPr>
        <w:t>P</w:t>
      </w:r>
      <w:r w:rsidR="00B52EF5" w:rsidRPr="004F057F">
        <w:rPr>
          <w:rFonts w:ascii="Calibri" w:hAnsi="Calibri"/>
          <w:sz w:val="24"/>
          <w:szCs w:val="24"/>
        </w:rPr>
        <w:t>L</w:t>
      </w:r>
      <w:r w:rsidRPr="004F057F">
        <w:rPr>
          <w:rFonts w:ascii="Calibri" w:hAnsi="Calibri"/>
          <w:sz w:val="24"/>
          <w:szCs w:val="24"/>
        </w:rPr>
        <w:t>.</w:t>
      </w:r>
    </w:p>
    <w:p w:rsidR="001235D5" w:rsidRPr="001235D5" w:rsidRDefault="001235D5" w:rsidP="001235D5">
      <w:pPr>
        <w:pStyle w:val="Lista2"/>
        <w:numPr>
          <w:ilvl w:val="0"/>
          <w:numId w:val="4"/>
        </w:numPr>
        <w:spacing w:line="276" w:lineRule="auto"/>
        <w:jc w:val="both"/>
        <w:rPr>
          <w:rFonts w:ascii="Calibri" w:hAnsi="Calibri" w:cs="Arial"/>
          <w:sz w:val="24"/>
          <w:szCs w:val="24"/>
        </w:rPr>
      </w:pPr>
      <w:r w:rsidRPr="001235D5">
        <w:rPr>
          <w:rFonts w:ascii="Calibri" w:hAnsi="Calibri" w:cs="Arial"/>
          <w:b/>
          <w:bCs/>
          <w:sz w:val="24"/>
          <w:szCs w:val="24"/>
        </w:rPr>
        <w:t xml:space="preserve">Uszkodzenia </w:t>
      </w:r>
      <w:r w:rsidRPr="001235D5">
        <w:rPr>
          <w:rFonts w:ascii="Calibri" w:hAnsi="Calibri" w:cs="Arial"/>
          <w:sz w:val="24"/>
          <w:szCs w:val="24"/>
        </w:rPr>
        <w:t>– stan techniczny sieci telekomunikacyjnej lub jej elementów związany z nieprawidłowym ich działaniem, uniemożliwiający lub poważnie ograniczający świadczenie Usługi.</w:t>
      </w:r>
    </w:p>
    <w:p w:rsidR="00F02BFE" w:rsidRPr="00082560" w:rsidRDefault="00082560" w:rsidP="00082560">
      <w:pPr>
        <w:numPr>
          <w:ilvl w:val="0"/>
          <w:numId w:val="4"/>
        </w:numPr>
        <w:tabs>
          <w:tab w:val="clear" w:pos="720"/>
          <w:tab w:val="num" w:pos="851"/>
        </w:tabs>
        <w:spacing w:line="276" w:lineRule="auto"/>
        <w:ind w:left="851" w:hanging="491"/>
        <w:rPr>
          <w:rFonts w:ascii="Calibri" w:hAnsi="Calibri" w:cs="Times New Roman"/>
          <w:sz w:val="24"/>
          <w:szCs w:val="24"/>
          <w:lang w:eastAsia="pl-PL"/>
        </w:rPr>
      </w:pPr>
      <w:r w:rsidRPr="00082560">
        <w:rPr>
          <w:rFonts w:ascii="Calibri" w:hAnsi="Calibri" w:cs="Times New Roman"/>
          <w:b/>
          <w:sz w:val="24"/>
          <w:szCs w:val="24"/>
          <w:lang w:eastAsia="pl-PL"/>
        </w:rPr>
        <w:t>Wykonawca</w:t>
      </w:r>
      <w:r w:rsidRPr="00082560">
        <w:rPr>
          <w:rFonts w:ascii="Calibri" w:hAnsi="Calibri" w:cs="Times New Roman"/>
          <w:sz w:val="24"/>
          <w:szCs w:val="24"/>
          <w:lang w:eastAsia="pl-PL"/>
        </w:rPr>
        <w:t xml:space="preserve"> – konsorcjum T4B sp. z o.o. z siedzibą w Warszawie oraz </w:t>
      </w:r>
      <w:proofErr w:type="spellStart"/>
      <w:r w:rsidRPr="00082560">
        <w:rPr>
          <w:rFonts w:ascii="Calibri" w:hAnsi="Calibri" w:cs="Times New Roman"/>
          <w:sz w:val="24"/>
          <w:szCs w:val="24"/>
          <w:lang w:eastAsia="pl-PL"/>
        </w:rPr>
        <w:t>Qumak</w:t>
      </w:r>
      <w:proofErr w:type="spellEnd"/>
      <w:r w:rsidRPr="00082560">
        <w:rPr>
          <w:rFonts w:ascii="Calibri" w:hAnsi="Calibri" w:cs="Times New Roman"/>
          <w:sz w:val="24"/>
          <w:szCs w:val="24"/>
          <w:lang w:eastAsia="pl-PL"/>
        </w:rPr>
        <w:t xml:space="preserve"> S.A. z siedzibą w Warszawie, realizujące Zamówienie. </w:t>
      </w:r>
    </w:p>
    <w:p w:rsidR="004567BF" w:rsidRPr="004F057F" w:rsidRDefault="004567BF" w:rsidP="00082560">
      <w:pPr>
        <w:pStyle w:val="Lista2"/>
        <w:numPr>
          <w:ilvl w:val="0"/>
          <w:numId w:val="4"/>
        </w:numPr>
        <w:tabs>
          <w:tab w:val="clear" w:pos="720"/>
          <w:tab w:val="num" w:pos="851"/>
        </w:tabs>
        <w:spacing w:line="276" w:lineRule="auto"/>
        <w:ind w:left="851" w:hanging="491"/>
        <w:jc w:val="both"/>
        <w:rPr>
          <w:rFonts w:ascii="Calibri" w:hAnsi="Calibri"/>
          <w:sz w:val="24"/>
          <w:szCs w:val="24"/>
        </w:rPr>
      </w:pPr>
      <w:r w:rsidRPr="004F057F">
        <w:rPr>
          <w:rFonts w:ascii="Calibri" w:hAnsi="Calibri"/>
          <w:b/>
          <w:sz w:val="24"/>
          <w:szCs w:val="24"/>
        </w:rPr>
        <w:t>XML</w:t>
      </w:r>
      <w:r w:rsidRPr="004F057F">
        <w:rPr>
          <w:rFonts w:ascii="Calibri" w:hAnsi="Calibri"/>
          <w:sz w:val="24"/>
          <w:szCs w:val="24"/>
        </w:rPr>
        <w:t xml:space="preserve"> – uniwersalny język formalny przeznaczony do reprezentowania różnych danych w ustrukturalizowany sposób.</w:t>
      </w:r>
    </w:p>
    <w:p w:rsidR="004567BF" w:rsidRPr="004F057F" w:rsidRDefault="004567BF" w:rsidP="00082560">
      <w:pPr>
        <w:pStyle w:val="Lista2"/>
        <w:numPr>
          <w:ilvl w:val="0"/>
          <w:numId w:val="4"/>
        </w:numPr>
        <w:tabs>
          <w:tab w:val="clear" w:pos="720"/>
          <w:tab w:val="num" w:pos="851"/>
        </w:tabs>
        <w:spacing w:line="276" w:lineRule="auto"/>
        <w:jc w:val="both"/>
        <w:rPr>
          <w:rFonts w:ascii="Calibri" w:hAnsi="Calibri"/>
          <w:sz w:val="24"/>
          <w:szCs w:val="24"/>
        </w:rPr>
      </w:pPr>
      <w:r w:rsidRPr="004F057F">
        <w:rPr>
          <w:rFonts w:ascii="Calibri" w:hAnsi="Calibri"/>
          <w:b/>
          <w:sz w:val="24"/>
          <w:szCs w:val="24"/>
        </w:rPr>
        <w:t>XSD</w:t>
      </w:r>
      <w:r w:rsidRPr="004F057F">
        <w:rPr>
          <w:rFonts w:ascii="Calibri" w:hAnsi="Calibri"/>
          <w:sz w:val="24"/>
          <w:szCs w:val="24"/>
        </w:rPr>
        <w:t xml:space="preserve"> – schemat służący do definiowania dokumentu XML.</w:t>
      </w:r>
    </w:p>
    <w:p w:rsidR="004567BF" w:rsidRPr="004F057F" w:rsidRDefault="004567BF" w:rsidP="00082560">
      <w:pPr>
        <w:pStyle w:val="Lista2"/>
        <w:numPr>
          <w:ilvl w:val="0"/>
          <w:numId w:val="4"/>
        </w:numPr>
        <w:tabs>
          <w:tab w:val="clear" w:pos="720"/>
          <w:tab w:val="num" w:pos="851"/>
        </w:tabs>
        <w:spacing w:line="276" w:lineRule="auto"/>
        <w:ind w:left="851" w:hanging="491"/>
        <w:jc w:val="both"/>
        <w:rPr>
          <w:rFonts w:ascii="Calibri" w:hAnsi="Calibri"/>
          <w:sz w:val="24"/>
          <w:szCs w:val="24"/>
        </w:rPr>
      </w:pPr>
      <w:r w:rsidRPr="004F057F">
        <w:rPr>
          <w:rFonts w:ascii="Calibri" w:hAnsi="Calibri"/>
          <w:b/>
          <w:sz w:val="24"/>
          <w:szCs w:val="24"/>
        </w:rPr>
        <w:t>Zakończenie sieci</w:t>
      </w:r>
      <w:r w:rsidRPr="004F057F">
        <w:rPr>
          <w:rFonts w:ascii="Calibri" w:hAnsi="Calibri"/>
          <w:sz w:val="24"/>
          <w:szCs w:val="24"/>
        </w:rPr>
        <w:t xml:space="preserve"> – fizyczny punkt (np. gniazdko abonenckie lub głowica/łączówka/przełącznica), w którym Abonent otrzymuje dostęp do stacjonarnej publicznej sieci telekomunikacyjnej. Zakończenie sieci identyfikuje się za pomocą ID Łącza i wskazuje na konkretny adres, do którego może być przypisany numer stacji telefonicznej, ID usługi szerokopasmowej lub nazwa Abonenta.</w:t>
      </w:r>
    </w:p>
    <w:p w:rsidR="00082560" w:rsidRPr="00082560" w:rsidRDefault="00082560" w:rsidP="00082560">
      <w:pPr>
        <w:numPr>
          <w:ilvl w:val="0"/>
          <w:numId w:val="4"/>
        </w:numPr>
        <w:tabs>
          <w:tab w:val="clear" w:pos="720"/>
          <w:tab w:val="num" w:pos="851"/>
        </w:tabs>
        <w:spacing w:line="276" w:lineRule="auto"/>
        <w:rPr>
          <w:rFonts w:ascii="Calibri" w:hAnsi="Calibri" w:cs="Times New Roman"/>
          <w:sz w:val="24"/>
          <w:szCs w:val="24"/>
          <w:lang w:eastAsia="pl-PL"/>
        </w:rPr>
      </w:pPr>
      <w:r w:rsidRPr="00082560">
        <w:rPr>
          <w:rFonts w:ascii="Calibri" w:hAnsi="Calibri" w:cs="Times New Roman"/>
          <w:b/>
          <w:sz w:val="24"/>
          <w:szCs w:val="24"/>
          <w:lang w:eastAsia="pl-PL"/>
        </w:rPr>
        <w:t>Zamawiający</w:t>
      </w:r>
      <w:r w:rsidRPr="00082560">
        <w:rPr>
          <w:rFonts w:ascii="Calibri" w:hAnsi="Calibri" w:cs="Times New Roman"/>
          <w:sz w:val="24"/>
          <w:szCs w:val="24"/>
          <w:lang w:eastAsia="pl-PL"/>
        </w:rPr>
        <w:t xml:space="preserve"> - Skarb Państwa - Urząd Komunikacji Elektronicznej.</w:t>
      </w:r>
    </w:p>
    <w:p w:rsidR="004567BF" w:rsidRPr="004F057F" w:rsidRDefault="004567BF" w:rsidP="00082560">
      <w:pPr>
        <w:pStyle w:val="Lista2"/>
        <w:numPr>
          <w:ilvl w:val="0"/>
          <w:numId w:val="4"/>
        </w:numPr>
        <w:tabs>
          <w:tab w:val="clear" w:pos="720"/>
          <w:tab w:val="num" w:pos="851"/>
        </w:tabs>
        <w:spacing w:line="276" w:lineRule="auto"/>
        <w:ind w:left="851" w:hanging="491"/>
        <w:jc w:val="both"/>
        <w:rPr>
          <w:rFonts w:ascii="Calibri" w:hAnsi="Calibri"/>
          <w:sz w:val="24"/>
          <w:szCs w:val="24"/>
        </w:rPr>
      </w:pPr>
      <w:r w:rsidRPr="004F057F">
        <w:rPr>
          <w:rFonts w:ascii="Calibri" w:hAnsi="Calibri"/>
          <w:b/>
          <w:sz w:val="24"/>
          <w:szCs w:val="24"/>
        </w:rPr>
        <w:t>Zamówienie</w:t>
      </w:r>
      <w:r w:rsidRPr="004F057F">
        <w:rPr>
          <w:rFonts w:ascii="Calibri" w:hAnsi="Calibri"/>
          <w:sz w:val="24"/>
          <w:szCs w:val="24"/>
        </w:rPr>
        <w:t xml:space="preserve"> – informacja w formie elektronicznej przekazywana przez Stronę do drugiej Strony w celu realizacji Usługi Regulowanej/Usługi PT i/lub Migracji.</w:t>
      </w:r>
    </w:p>
    <w:p w:rsidR="00F02BFE" w:rsidRPr="00F02BFE" w:rsidRDefault="00F02BFE" w:rsidP="00082560">
      <w:pPr>
        <w:pStyle w:val="Lista2"/>
        <w:numPr>
          <w:ilvl w:val="0"/>
          <w:numId w:val="4"/>
        </w:numPr>
        <w:tabs>
          <w:tab w:val="clear" w:pos="720"/>
          <w:tab w:val="num" w:pos="851"/>
        </w:tabs>
        <w:spacing w:line="276" w:lineRule="auto"/>
        <w:ind w:left="851" w:hanging="491"/>
        <w:jc w:val="both"/>
        <w:rPr>
          <w:rFonts w:ascii="Calibri" w:hAnsi="Calibri" w:cs="Arial"/>
          <w:sz w:val="24"/>
          <w:szCs w:val="24"/>
        </w:rPr>
      </w:pPr>
      <w:r w:rsidRPr="00F02BFE">
        <w:rPr>
          <w:rFonts w:ascii="Calibri" w:hAnsi="Calibri" w:cs="Arial"/>
          <w:b/>
          <w:bCs/>
          <w:sz w:val="24"/>
          <w:szCs w:val="24"/>
        </w:rPr>
        <w:t xml:space="preserve">Zamówienie Migracji </w:t>
      </w:r>
      <w:r w:rsidRPr="00F02BFE">
        <w:rPr>
          <w:rFonts w:ascii="Calibri" w:hAnsi="Calibri" w:cs="Arial"/>
          <w:sz w:val="24"/>
          <w:szCs w:val="24"/>
        </w:rPr>
        <w:t>– Komunikat XML przesyłany przez PT do OPL dotyczący migracji Usługi Abonenckiej. Wysłanie komunikatu XML jest równoznaczne ze złożeniem Zamówienia Migr</w:t>
      </w:r>
      <w:bookmarkStart w:id="6" w:name="_GoBack"/>
      <w:bookmarkEnd w:id="6"/>
      <w:r w:rsidRPr="00F02BFE">
        <w:rPr>
          <w:rFonts w:ascii="Calibri" w:hAnsi="Calibri" w:cs="Arial"/>
          <w:sz w:val="24"/>
          <w:szCs w:val="24"/>
        </w:rPr>
        <w:t>acji.</w:t>
      </w:r>
    </w:p>
    <w:sectPr w:rsidR="00F02BFE" w:rsidRPr="00F02BFE" w:rsidSect="008B2FC9">
      <w:headerReference w:type="default" r:id="rId9"/>
      <w:footerReference w:type="default" r:id="rId10"/>
      <w:headerReference w:type="first" r:id="rId11"/>
      <w:pgSz w:w="11906" w:h="16838"/>
      <w:pgMar w:top="1665" w:right="1417" w:bottom="1843" w:left="1417" w:header="708" w:footer="11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620" w:rsidRDefault="00482620" w:rsidP="0091114C">
      <w:pPr>
        <w:spacing w:line="240" w:lineRule="auto"/>
      </w:pPr>
      <w:r>
        <w:separator/>
      </w:r>
    </w:p>
  </w:endnote>
  <w:endnote w:type="continuationSeparator" w:id="0">
    <w:p w:rsidR="00482620" w:rsidRDefault="00482620" w:rsidP="00911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89" w:rsidRDefault="000A4789" w:rsidP="0091114C">
    <w:pPr>
      <w:pStyle w:val="Stopka"/>
      <w:tabs>
        <w:tab w:val="left" w:pos="4185"/>
        <w:tab w:val="center" w:pos="4896"/>
      </w:tabs>
      <w:ind w:left="0" w:firstLine="0"/>
      <w:jc w:val="center"/>
    </w:pPr>
    <w:r>
      <w:rPr>
        <w:noProof/>
        <w:lang w:eastAsia="pl-PL"/>
      </w:rPr>
      <w:drawing>
        <wp:anchor distT="0" distB="0" distL="114300" distR="114300" simplePos="0" relativeHeight="251660800" behindDoc="1" locked="0" layoutInCell="1" allowOverlap="1" wp14:anchorId="72A55FEF" wp14:editId="4D5E50F4">
          <wp:simplePos x="0" y="0"/>
          <wp:positionH relativeFrom="column">
            <wp:posOffset>-480695</wp:posOffset>
          </wp:positionH>
          <wp:positionV relativeFrom="paragraph">
            <wp:posOffset>-49530</wp:posOffset>
          </wp:positionV>
          <wp:extent cx="1438275" cy="552450"/>
          <wp:effectExtent l="0" t="0" r="9525" b="6350"/>
          <wp:wrapNone/>
          <wp:docPr id="12" name="Obraz 12" descr="http://piotrbunsch.wspinanie.pl/blog/files/2013/02/Qumak_RGB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iotrbunsch.wspinanie.pl/blog/files/2013/02/Qumak_RGB_2013.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8275" cy="552450"/>
                  </a:xfrm>
                  <a:prstGeom prst="rect">
                    <a:avLst/>
                  </a:prstGeom>
                  <a:noFill/>
                  <a:ln>
                    <a:noFill/>
                  </a:ln>
                </pic:spPr>
              </pic:pic>
            </a:graphicData>
          </a:graphic>
        </wp:anchor>
      </w:drawing>
    </w:r>
    <w:r>
      <w:rPr>
        <w:noProof/>
        <w:lang w:eastAsia="pl-PL"/>
      </w:rPr>
      <w:drawing>
        <wp:anchor distT="0" distB="0" distL="114300" distR="114300" simplePos="0" relativeHeight="251657728" behindDoc="0" locked="0" layoutInCell="1" allowOverlap="1" wp14:anchorId="365487AB" wp14:editId="63E57B98">
          <wp:simplePos x="0" y="0"/>
          <wp:positionH relativeFrom="column">
            <wp:posOffset>4690110</wp:posOffset>
          </wp:positionH>
          <wp:positionV relativeFrom="paragraph">
            <wp:posOffset>-22860</wp:posOffset>
          </wp:positionV>
          <wp:extent cx="873760" cy="563245"/>
          <wp:effectExtent l="0" t="0" r="0" b="0"/>
          <wp:wrapSquare wrapText="bothSides"/>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3760" cy="563245"/>
                  </a:xfrm>
                  <a:prstGeom prst="rect">
                    <a:avLst/>
                  </a:prstGeom>
                  <a:noFill/>
                  <a:ln>
                    <a:noFill/>
                  </a:ln>
                </pic:spPr>
              </pic:pic>
            </a:graphicData>
          </a:graphic>
        </wp:anchor>
      </w:drawing>
    </w:r>
    <w:r w:rsidR="00D30A28">
      <w:rPr>
        <w:noProof/>
        <w:lang w:eastAsia="pl-PL"/>
      </w:rPr>
      <w:pict>
        <v:shapetype id="_x0000_t32" coordsize="21600,21600" o:spt="32" o:oned="t" path="m,l21600,21600e" filled="f">
          <v:path arrowok="t" fillok="f" o:connecttype="none"/>
          <o:lock v:ext="edit" shapetype="t"/>
        </v:shapetype>
        <v:shape id="AutoShape 6" o:spid="_x0000_s2049" type="#_x0000_t32" style="position:absolute;left:0;text-align:left;margin-left:.25pt;margin-top:-9.85pt;width:432.45pt;height:.0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" strokecolor="#243f60" strokeweight="1pt"/>
      </w:pict>
    </w:r>
    <w:r>
      <w:rPr>
        <w:noProof/>
        <w:lang w:eastAsia="pl-PL"/>
      </w:rPr>
      <w:drawing>
        <wp:anchor distT="0" distB="0" distL="114300" distR="114300" simplePos="0" relativeHeight="251659776" behindDoc="1" locked="0" layoutInCell="1" allowOverlap="1" wp14:anchorId="75C35334" wp14:editId="615BDBB0">
          <wp:simplePos x="0" y="0"/>
          <wp:positionH relativeFrom="column">
            <wp:posOffset>-509270</wp:posOffset>
          </wp:positionH>
          <wp:positionV relativeFrom="paragraph">
            <wp:posOffset>36830</wp:posOffset>
          </wp:positionV>
          <wp:extent cx="6657975" cy="952500"/>
          <wp:effectExtent l="0" t="0" r="0" b="12700"/>
          <wp:wrapNone/>
          <wp:docPr id="1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57975" cy="952500"/>
                  </a:xfrm>
                  <a:prstGeom prst="rect">
                    <a:avLst/>
                  </a:prstGeom>
                  <a:noFill/>
                  <a:ln>
                    <a:noFill/>
                  </a:ln>
                </pic:spPr>
              </pic:pic>
            </a:graphicData>
          </a:graphic>
        </wp:anchor>
      </w:drawing>
    </w:r>
    <w:r w:rsidR="006437A0">
      <w:rPr>
        <w:rStyle w:val="Numerstrony"/>
      </w:rPr>
      <w:fldChar w:fldCharType="begin"/>
    </w:r>
    <w:r>
      <w:rPr>
        <w:rStyle w:val="Numerstrony"/>
      </w:rPr>
      <w:instrText xml:space="preserve"> PAGE </w:instrText>
    </w:r>
    <w:r w:rsidR="006437A0">
      <w:rPr>
        <w:rStyle w:val="Numerstrony"/>
      </w:rPr>
      <w:fldChar w:fldCharType="separate"/>
    </w:r>
    <w:r w:rsidR="00D30A28">
      <w:rPr>
        <w:rStyle w:val="Numerstrony"/>
        <w:noProof/>
      </w:rPr>
      <w:t>15</w:t>
    </w:r>
    <w:r w:rsidR="006437A0">
      <w:rPr>
        <w:rStyle w:val="Numerstrony"/>
      </w:rPr>
      <w:fldChar w:fldCharType="end"/>
    </w:r>
    <w:r>
      <w:rPr>
        <w:rStyle w:val="Numerstrony"/>
      </w:rPr>
      <w:t>/</w:t>
    </w:r>
    <w:r w:rsidR="006437A0">
      <w:rPr>
        <w:rStyle w:val="Numerstrony"/>
      </w:rPr>
      <w:fldChar w:fldCharType="begin"/>
    </w:r>
    <w:r>
      <w:rPr>
        <w:rStyle w:val="Numerstrony"/>
      </w:rPr>
      <w:instrText xml:space="preserve"> NUMPAGES </w:instrText>
    </w:r>
    <w:r w:rsidR="006437A0">
      <w:rPr>
        <w:rStyle w:val="Numerstrony"/>
      </w:rPr>
      <w:fldChar w:fldCharType="separate"/>
    </w:r>
    <w:r w:rsidR="00D30A28">
      <w:rPr>
        <w:rStyle w:val="Numerstrony"/>
        <w:noProof/>
      </w:rPr>
      <w:t>15</w:t>
    </w:r>
    <w:r w:rsidR="006437A0">
      <w:rPr>
        <w:rStyle w:val="Numerstrony"/>
      </w:rPr>
      <w:fldChar w:fldCharType="end"/>
    </w:r>
  </w:p>
  <w:p w:rsidR="000A4789" w:rsidRDefault="000A4789">
    <w:pPr>
      <w:pStyle w:val="Stopka"/>
    </w:pPr>
    <w:r>
      <w:rPr>
        <w:noProof/>
        <w:lang w:eastAsia="pl-PL"/>
      </w:rPr>
      <w:drawing>
        <wp:anchor distT="0" distB="0" distL="114300" distR="114300" simplePos="0" relativeHeight="251656704" behindDoc="0" locked="0" layoutInCell="1" allowOverlap="1" wp14:anchorId="1C07DB10" wp14:editId="746BAC68">
          <wp:simplePos x="0" y="0"/>
          <wp:positionH relativeFrom="margin">
            <wp:posOffset>1014730</wp:posOffset>
          </wp:positionH>
          <wp:positionV relativeFrom="margin">
            <wp:posOffset>9930130</wp:posOffset>
          </wp:positionV>
          <wp:extent cx="1000760" cy="409575"/>
          <wp:effectExtent l="0" t="0" r="0" b="0"/>
          <wp:wrapSquare wrapText="bothSides"/>
          <wp:docPr id="8" name="Obraz 1" descr="papier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X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760" cy="409575"/>
                  </a:xfrm>
                  <a:prstGeom prst="rect">
                    <a:avLst/>
                  </a:prstGeom>
                  <a:noFill/>
                  <a:ln>
                    <a:noFill/>
                  </a:ln>
                </pic:spPr>
              </pic:pic>
            </a:graphicData>
          </a:graphic>
        </wp:anchor>
      </w:drawing>
    </w:r>
    <w:r>
      <w:rPr>
        <w:noProof/>
        <w:lang w:eastAsia="pl-PL"/>
      </w:rPr>
      <w:drawing>
        <wp:anchor distT="0" distB="0" distL="114300" distR="114300" simplePos="0" relativeHeight="251655680" behindDoc="0" locked="0" layoutInCell="1" allowOverlap="1" wp14:anchorId="61C20971" wp14:editId="6BF11109">
          <wp:simplePos x="0" y="0"/>
          <wp:positionH relativeFrom="margin">
            <wp:posOffset>1014730</wp:posOffset>
          </wp:positionH>
          <wp:positionV relativeFrom="margin">
            <wp:posOffset>9930130</wp:posOffset>
          </wp:positionV>
          <wp:extent cx="1000760" cy="409575"/>
          <wp:effectExtent l="0" t="0" r="0" b="0"/>
          <wp:wrapSquare wrapText="bothSides"/>
          <wp:docPr id="7" name="Obraz 1" descr="papier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X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760" cy="4095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620" w:rsidRDefault="00482620" w:rsidP="0091114C">
      <w:pPr>
        <w:spacing w:line="240" w:lineRule="auto"/>
      </w:pPr>
      <w:r>
        <w:separator/>
      </w:r>
    </w:p>
  </w:footnote>
  <w:footnote w:type="continuationSeparator" w:id="0">
    <w:p w:rsidR="00482620" w:rsidRDefault="00482620" w:rsidP="009111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89" w:rsidRDefault="00D30A28" w:rsidP="0091114C">
    <w:pPr>
      <w:pStyle w:val="Nagwek"/>
      <w:ind w:left="0" w:hanging="16"/>
    </w:pPr>
    <w:r>
      <w:rPr>
        <w:noProof/>
        <w:lang w:eastAsia="pl-PL"/>
      </w:rPr>
      <w:pict>
        <v:shapetype id="_x0000_t32" coordsize="21600,21600" o:spt="32" o:oned="t" path="m,l21600,21600e" filled="f">
          <v:path arrowok="t" fillok="f" o:connecttype="none"/>
          <o:lock v:ext="edit" shapetype="t"/>
        </v:shapetype>
        <v:shape id="AutoShape 1" o:spid="_x0000_s2050" type="#_x0000_t32" style="position:absolute;left:0;text-align:left;margin-left:0;margin-top:44.45pt;width:432.45pt;height:.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" strokecolor="#243f60" strokeweight="1pt"/>
      </w:pict>
    </w:r>
    <w:r w:rsidR="000A4789">
      <w:rPr>
        <w:noProof/>
        <w:lang w:eastAsia="pl-PL"/>
      </w:rPr>
      <w:drawing>
        <wp:inline distT="0" distB="0" distL="0" distR="0" wp14:anchorId="5D3B8136" wp14:editId="4ED8EA67">
          <wp:extent cx="5528310" cy="545465"/>
          <wp:effectExtent l="0" t="0" r="8890" b="0"/>
          <wp:docPr id="2" name="Obraz 3" descr="stopk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stopka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8310" cy="545465"/>
                  </a:xfrm>
                  <a:prstGeom prst="rect">
                    <a:avLst/>
                  </a:prstGeom>
                  <a:noFill/>
                  <a:ln>
                    <a:noFill/>
                  </a:ln>
                </pic:spPr>
              </pic:pic>
            </a:graphicData>
          </a:graphic>
        </wp:inline>
      </w:drawing>
    </w:r>
  </w:p>
  <w:p w:rsidR="000A4789" w:rsidRDefault="000A478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2641"/>
      <w:gridCol w:w="2080"/>
      <w:gridCol w:w="2362"/>
    </w:tblGrid>
    <w:tr w:rsidR="000A4789" w:rsidTr="00EB5BF6">
      <w:trPr>
        <w:trHeight w:val="158"/>
      </w:trPr>
      <w:tc>
        <w:tcPr>
          <w:tcW w:w="2287" w:type="dxa"/>
          <w:vAlign w:val="center"/>
        </w:tcPr>
        <w:p w:rsidR="000A4789" w:rsidRPr="00C423F8" w:rsidRDefault="000A4789" w:rsidP="00CC58B9">
          <w:pPr>
            <w:pStyle w:val="Nagwek"/>
            <w:ind w:left="-142" w:firstLine="0"/>
            <w:jc w:val="center"/>
            <w:rPr>
              <w:rFonts w:cs="Arial"/>
            </w:rPr>
          </w:pPr>
          <w:r w:rsidRPr="00C423F8">
            <w:rPr>
              <w:rFonts w:cs="Arial"/>
            </w:rPr>
            <w:t>Urząd Komunikacji Elektronicznej</w:t>
          </w:r>
        </w:p>
      </w:tc>
      <w:tc>
        <w:tcPr>
          <w:tcW w:w="2641" w:type="dxa"/>
          <w:vAlign w:val="center"/>
        </w:tcPr>
        <w:p w:rsidR="000A4789" w:rsidRPr="00C423F8" w:rsidRDefault="000A4789" w:rsidP="00CC58B9">
          <w:pPr>
            <w:pStyle w:val="Nagwek"/>
            <w:ind w:left="0" w:firstLine="0"/>
            <w:jc w:val="center"/>
            <w:rPr>
              <w:rFonts w:cs="Arial"/>
              <w:b/>
            </w:rPr>
          </w:pPr>
          <w:r w:rsidRPr="00C423F8">
            <w:rPr>
              <w:rFonts w:cs="Arial"/>
              <w:b/>
            </w:rPr>
            <w:t>Projekt PLI CBD2</w:t>
          </w:r>
        </w:p>
      </w:tc>
      <w:tc>
        <w:tcPr>
          <w:tcW w:w="2080" w:type="dxa"/>
          <w:vAlign w:val="center"/>
        </w:tcPr>
        <w:p w:rsidR="000A4789" w:rsidRPr="00C423F8" w:rsidRDefault="000A4789" w:rsidP="00DA130D">
          <w:pPr>
            <w:pStyle w:val="Nagwek"/>
            <w:ind w:left="108" w:right="-72" w:firstLine="0"/>
            <w:jc w:val="center"/>
            <w:rPr>
              <w:rFonts w:cs="Arial"/>
            </w:rPr>
          </w:pPr>
          <w:r w:rsidRPr="00C423F8">
            <w:rPr>
              <w:rFonts w:cs="Arial"/>
            </w:rPr>
            <w:t>Data utworzenia dok.:</w:t>
          </w:r>
        </w:p>
        <w:p w:rsidR="000A4789" w:rsidRPr="00C423F8" w:rsidRDefault="00D30A28" w:rsidP="00AD4A74">
          <w:pPr>
            <w:pStyle w:val="Nagwek"/>
            <w:ind w:left="0" w:firstLine="0"/>
            <w:jc w:val="center"/>
            <w:rPr>
              <w:rFonts w:cs="Arial"/>
            </w:rPr>
          </w:pPr>
          <w:r>
            <w:rPr>
              <w:rFonts w:cs="Arial"/>
            </w:rPr>
            <w:t>23.01.2015</w:t>
          </w:r>
        </w:p>
      </w:tc>
      <w:tc>
        <w:tcPr>
          <w:tcW w:w="2362" w:type="dxa"/>
          <w:vAlign w:val="center"/>
        </w:tcPr>
        <w:p w:rsidR="000A4789" w:rsidRPr="00C423F8" w:rsidRDefault="000A4789" w:rsidP="00D30A28">
          <w:pPr>
            <w:pStyle w:val="Nagwek"/>
            <w:ind w:left="140" w:firstLine="0"/>
            <w:rPr>
              <w:rFonts w:cs="Arial"/>
            </w:rPr>
          </w:pPr>
          <w:r>
            <w:rPr>
              <w:rFonts w:cs="Arial"/>
            </w:rPr>
            <w:t xml:space="preserve">Wersja nr: </w:t>
          </w:r>
          <w:r w:rsidR="000E05E4">
            <w:rPr>
              <w:rFonts w:cs="Arial"/>
            </w:rPr>
            <w:t>1</w:t>
          </w:r>
        </w:p>
        <w:p w:rsidR="000A4789" w:rsidRPr="00C423F8" w:rsidRDefault="000A4789" w:rsidP="008E1CAB">
          <w:pPr>
            <w:pStyle w:val="Nagwek"/>
            <w:ind w:left="140" w:firstLine="0"/>
            <w:rPr>
              <w:rFonts w:cs="Arial"/>
            </w:rPr>
          </w:pPr>
          <w:r>
            <w:rPr>
              <w:rFonts w:cs="Arial"/>
            </w:rPr>
            <w:t xml:space="preserve">z dnia </w:t>
          </w:r>
          <w:r w:rsidR="008E1CAB">
            <w:rPr>
              <w:rFonts w:cs="Arial"/>
            </w:rPr>
            <w:t>23</w:t>
          </w:r>
          <w:r>
            <w:rPr>
              <w:rFonts w:cs="Arial"/>
            </w:rPr>
            <w:t>.</w:t>
          </w:r>
          <w:r w:rsidR="000E05E4">
            <w:rPr>
              <w:rFonts w:cs="Arial"/>
            </w:rPr>
            <w:t>01</w:t>
          </w:r>
          <w:r w:rsidR="006D3A1F">
            <w:rPr>
              <w:rFonts w:cs="Arial"/>
            </w:rPr>
            <w:t>.</w:t>
          </w:r>
          <w:r w:rsidR="000E05E4" w:rsidRPr="00C423F8">
            <w:rPr>
              <w:rFonts w:cs="Arial"/>
            </w:rPr>
            <w:t>201</w:t>
          </w:r>
          <w:r w:rsidR="000E05E4">
            <w:rPr>
              <w:rFonts w:cs="Arial"/>
            </w:rPr>
            <w:t>5</w:t>
          </w:r>
        </w:p>
      </w:tc>
    </w:tr>
    <w:tr w:rsidR="000A4789" w:rsidTr="00EB5BF6">
      <w:trPr>
        <w:trHeight w:val="158"/>
      </w:trPr>
      <w:tc>
        <w:tcPr>
          <w:tcW w:w="4928" w:type="dxa"/>
          <w:gridSpan w:val="2"/>
          <w:vAlign w:val="center"/>
        </w:tcPr>
        <w:p w:rsidR="000A4789" w:rsidRPr="00C423F8" w:rsidRDefault="000A4789" w:rsidP="00D907E0">
          <w:pPr>
            <w:pStyle w:val="Nagwek"/>
            <w:ind w:left="142" w:firstLine="0"/>
            <w:jc w:val="left"/>
            <w:rPr>
              <w:rFonts w:cs="Arial"/>
            </w:rPr>
          </w:pPr>
          <w:r w:rsidRPr="00C423F8">
            <w:rPr>
              <w:rFonts w:cs="Arial"/>
            </w:rPr>
            <w:t>Faza projektu: Etap E-1</w:t>
          </w:r>
        </w:p>
      </w:tc>
      <w:tc>
        <w:tcPr>
          <w:tcW w:w="4442" w:type="dxa"/>
          <w:gridSpan w:val="2"/>
          <w:vAlign w:val="center"/>
        </w:tcPr>
        <w:p w:rsidR="000A4789" w:rsidRPr="00C423F8" w:rsidRDefault="000A4789" w:rsidP="0026418E">
          <w:pPr>
            <w:pStyle w:val="Nagwek"/>
            <w:ind w:hanging="1168"/>
            <w:rPr>
              <w:rFonts w:cs="Arial"/>
            </w:rPr>
          </w:pPr>
          <w:r w:rsidRPr="00C423F8">
            <w:rPr>
              <w:rFonts w:cs="Arial"/>
            </w:rPr>
            <w:t>Obszar projektu: Pro</w:t>
          </w:r>
          <w:r>
            <w:rPr>
              <w:rFonts w:cs="Arial"/>
            </w:rPr>
            <w:t>jektowy</w:t>
          </w:r>
        </w:p>
      </w:tc>
    </w:tr>
    <w:tr w:rsidR="000A4789" w:rsidTr="00EB5BF6">
      <w:trPr>
        <w:trHeight w:val="79"/>
      </w:trPr>
      <w:tc>
        <w:tcPr>
          <w:tcW w:w="4928" w:type="dxa"/>
          <w:gridSpan w:val="2"/>
        </w:tcPr>
        <w:p w:rsidR="000A4789" w:rsidRPr="00C423F8" w:rsidRDefault="000A4789" w:rsidP="0026418E">
          <w:pPr>
            <w:pStyle w:val="Nagwek"/>
            <w:ind w:left="142" w:firstLine="0"/>
            <w:jc w:val="left"/>
            <w:rPr>
              <w:rFonts w:cs="Arial"/>
            </w:rPr>
          </w:pPr>
          <w:r w:rsidRPr="00C423F8">
            <w:rPr>
              <w:rFonts w:cs="Arial"/>
            </w:rPr>
            <w:t xml:space="preserve">Rodzaj dokumentu: </w:t>
          </w:r>
          <w:r>
            <w:rPr>
              <w:rFonts w:cs="Arial"/>
            </w:rPr>
            <w:t>Analityczny</w:t>
          </w:r>
        </w:p>
      </w:tc>
      <w:tc>
        <w:tcPr>
          <w:tcW w:w="4442" w:type="dxa"/>
          <w:gridSpan w:val="2"/>
        </w:tcPr>
        <w:p w:rsidR="000A4789" w:rsidRPr="00C423F8" w:rsidRDefault="000A4789" w:rsidP="008E1CAB">
          <w:pPr>
            <w:pStyle w:val="Nagwek"/>
            <w:ind w:hanging="1168"/>
            <w:rPr>
              <w:rFonts w:cs="Arial"/>
            </w:rPr>
          </w:pPr>
          <w:r w:rsidRPr="00C423F8">
            <w:rPr>
              <w:rFonts w:cs="Arial"/>
            </w:rPr>
            <w:t xml:space="preserve">Status dokumentu: </w:t>
          </w:r>
          <w:r w:rsidR="008E1CAB">
            <w:rPr>
              <w:rFonts w:cs="Arial"/>
            </w:rPr>
            <w:t>Z</w:t>
          </w:r>
          <w:r>
            <w:rPr>
              <w:rFonts w:cs="Arial"/>
            </w:rPr>
            <w:t>atwierdzony</w:t>
          </w:r>
        </w:p>
      </w:tc>
    </w:tr>
    <w:tr w:rsidR="000A4789" w:rsidTr="00EB5BF6">
      <w:trPr>
        <w:trHeight w:val="158"/>
      </w:trPr>
      <w:tc>
        <w:tcPr>
          <w:tcW w:w="4928" w:type="dxa"/>
          <w:gridSpan w:val="2"/>
        </w:tcPr>
        <w:p w:rsidR="000A4789" w:rsidRPr="00C423F8" w:rsidRDefault="000A4789" w:rsidP="00EA51C5">
          <w:pPr>
            <w:pStyle w:val="Nagwek"/>
            <w:ind w:left="0" w:firstLine="0"/>
            <w:jc w:val="left"/>
            <w:rPr>
              <w:rFonts w:cs="Arial"/>
            </w:rPr>
          </w:pPr>
          <w:r w:rsidRPr="00C423F8">
            <w:rPr>
              <w:rFonts w:cs="Arial"/>
            </w:rPr>
            <w:t xml:space="preserve"> Odpowiedzialny: </w:t>
          </w:r>
          <w:r>
            <w:rPr>
              <w:rFonts w:cs="Arial"/>
            </w:rPr>
            <w:t xml:space="preserve">Piotr Naszkowski </w:t>
          </w:r>
        </w:p>
      </w:tc>
      <w:tc>
        <w:tcPr>
          <w:tcW w:w="4442" w:type="dxa"/>
          <w:gridSpan w:val="2"/>
        </w:tcPr>
        <w:p w:rsidR="000A4789" w:rsidRPr="00C423F8" w:rsidRDefault="000A4789" w:rsidP="00CC58B9">
          <w:pPr>
            <w:pStyle w:val="Nagwek"/>
            <w:ind w:hanging="1149"/>
            <w:rPr>
              <w:rFonts w:cs="Arial"/>
            </w:rPr>
          </w:pPr>
          <w:r w:rsidRPr="00C423F8">
            <w:rPr>
              <w:rFonts w:cs="Arial"/>
            </w:rPr>
            <w:t>Autor: T4B Spółka z o.o.</w:t>
          </w:r>
        </w:p>
      </w:tc>
    </w:tr>
  </w:tbl>
  <w:p w:rsidR="000A4789" w:rsidRDefault="000A4789" w:rsidP="00DA130D">
    <w:pPr>
      <w:pStyle w:val="Nagwek"/>
      <w:ind w:left="0" w:firstLine="0"/>
    </w:pPr>
    <w:r>
      <w:rPr>
        <w:noProof/>
        <w:lang w:eastAsia="pl-PL"/>
      </w:rPr>
      <w:drawing>
        <wp:inline distT="0" distB="0" distL="0" distR="0" wp14:anchorId="1A277012" wp14:editId="7603284B">
          <wp:extent cx="5729605" cy="545465"/>
          <wp:effectExtent l="0" t="0" r="10795" b="0"/>
          <wp:docPr id="1" name="Obraz 3" descr="stopk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stopka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9605" cy="5454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6AF1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623E76AE"/>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00000004"/>
    <w:multiLevelType w:val="singleLevel"/>
    <w:tmpl w:val="00000004"/>
    <w:name w:val="WW8Num3"/>
    <w:lvl w:ilvl="0">
      <w:start w:val="1"/>
      <w:numFmt w:val="bullet"/>
      <w:lvlText w:val="­"/>
      <w:lvlJc w:val="left"/>
      <w:pPr>
        <w:tabs>
          <w:tab w:val="num" w:pos="714"/>
        </w:tabs>
        <w:ind w:left="714" w:hanging="357"/>
      </w:pPr>
      <w:rPr>
        <w:rFonts w:ascii="Courier New" w:hAnsi="Courier New"/>
      </w:rPr>
    </w:lvl>
  </w:abstractNum>
  <w:abstractNum w:abstractNumId="3">
    <w:nsid w:val="03F34238"/>
    <w:multiLevelType w:val="hybridMultilevel"/>
    <w:tmpl w:val="2F9A78A2"/>
    <w:lvl w:ilvl="0" w:tplc="11AC388C">
      <w:start w:val="1"/>
      <w:numFmt w:val="lowerLetter"/>
      <w:lvlText w:val="%1)"/>
      <w:lvlJc w:val="left"/>
      <w:pPr>
        <w:tabs>
          <w:tab w:val="num" w:pos="720"/>
        </w:tabs>
        <w:ind w:left="720" w:hanging="360"/>
      </w:pPr>
      <w:rPr>
        <w:rFonts w:hint="default"/>
      </w:rPr>
    </w:lvl>
    <w:lvl w:ilvl="1" w:tplc="11AC388C">
      <w:start w:val="1"/>
      <w:numFmt w:val="lowerLetter"/>
      <w:lvlText w:val="%2)"/>
      <w:lvlJc w:val="left"/>
      <w:pPr>
        <w:tabs>
          <w:tab w:val="num" w:pos="360"/>
        </w:tabs>
        <w:ind w:left="360" w:hanging="360"/>
      </w:pPr>
      <w:rPr>
        <w:rFonts w:hint="default"/>
      </w:rPr>
    </w:lvl>
    <w:lvl w:ilvl="2" w:tplc="04150005">
      <w:start w:val="1"/>
      <w:numFmt w:val="bullet"/>
      <w:lvlText w:val=""/>
      <w:lvlJc w:val="left"/>
      <w:pPr>
        <w:tabs>
          <w:tab w:val="num" w:pos="-169"/>
        </w:tabs>
        <w:ind w:left="-169" w:hanging="360"/>
      </w:pPr>
      <w:rPr>
        <w:rFonts w:ascii="Wingdings" w:hAnsi="Wingdings" w:hint="default"/>
      </w:rPr>
    </w:lvl>
    <w:lvl w:ilvl="3" w:tplc="04150001">
      <w:start w:val="1"/>
      <w:numFmt w:val="bullet"/>
      <w:lvlText w:val=""/>
      <w:lvlJc w:val="left"/>
      <w:pPr>
        <w:tabs>
          <w:tab w:val="num" w:pos="551"/>
        </w:tabs>
        <w:ind w:left="551" w:hanging="360"/>
      </w:pPr>
      <w:rPr>
        <w:rFonts w:ascii="Symbol" w:hAnsi="Symbol" w:hint="default"/>
      </w:rPr>
    </w:lvl>
    <w:lvl w:ilvl="4" w:tplc="04150003">
      <w:start w:val="1"/>
      <w:numFmt w:val="bullet"/>
      <w:lvlText w:val="o"/>
      <w:lvlJc w:val="left"/>
      <w:pPr>
        <w:tabs>
          <w:tab w:val="num" w:pos="1271"/>
        </w:tabs>
        <w:ind w:left="1271" w:hanging="360"/>
      </w:pPr>
      <w:rPr>
        <w:rFonts w:ascii="Courier New" w:hAnsi="Courier New" w:cs="Courier New" w:hint="default"/>
      </w:rPr>
    </w:lvl>
    <w:lvl w:ilvl="5" w:tplc="04150005">
      <w:start w:val="1"/>
      <w:numFmt w:val="bullet"/>
      <w:lvlText w:val=""/>
      <w:lvlJc w:val="left"/>
      <w:pPr>
        <w:tabs>
          <w:tab w:val="num" w:pos="1991"/>
        </w:tabs>
        <w:ind w:left="1991" w:hanging="360"/>
      </w:pPr>
      <w:rPr>
        <w:rFonts w:ascii="Wingdings" w:hAnsi="Wingdings" w:hint="default"/>
      </w:rPr>
    </w:lvl>
    <w:lvl w:ilvl="6" w:tplc="04150001">
      <w:start w:val="1"/>
      <w:numFmt w:val="bullet"/>
      <w:lvlText w:val=""/>
      <w:lvlJc w:val="left"/>
      <w:pPr>
        <w:tabs>
          <w:tab w:val="num" w:pos="2711"/>
        </w:tabs>
        <w:ind w:left="2711" w:hanging="360"/>
      </w:pPr>
      <w:rPr>
        <w:rFonts w:ascii="Symbol" w:hAnsi="Symbol" w:hint="default"/>
      </w:rPr>
    </w:lvl>
    <w:lvl w:ilvl="7" w:tplc="04150003" w:tentative="1">
      <w:start w:val="1"/>
      <w:numFmt w:val="bullet"/>
      <w:lvlText w:val="o"/>
      <w:lvlJc w:val="left"/>
      <w:pPr>
        <w:tabs>
          <w:tab w:val="num" w:pos="3431"/>
        </w:tabs>
        <w:ind w:left="3431" w:hanging="360"/>
      </w:pPr>
      <w:rPr>
        <w:rFonts w:ascii="Courier New" w:hAnsi="Courier New" w:cs="Courier New" w:hint="default"/>
      </w:rPr>
    </w:lvl>
    <w:lvl w:ilvl="8" w:tplc="04150005" w:tentative="1">
      <w:start w:val="1"/>
      <w:numFmt w:val="bullet"/>
      <w:lvlText w:val=""/>
      <w:lvlJc w:val="left"/>
      <w:pPr>
        <w:tabs>
          <w:tab w:val="num" w:pos="4151"/>
        </w:tabs>
        <w:ind w:left="4151" w:hanging="360"/>
      </w:pPr>
      <w:rPr>
        <w:rFonts w:ascii="Wingdings" w:hAnsi="Wingdings" w:hint="default"/>
      </w:rPr>
    </w:lvl>
  </w:abstractNum>
  <w:abstractNum w:abstractNumId="4">
    <w:nsid w:val="11731898"/>
    <w:multiLevelType w:val="multilevel"/>
    <w:tmpl w:val="7A021388"/>
    <w:lvl w:ilvl="0">
      <w:start w:val="1"/>
      <w:numFmt w:val="decimal"/>
      <w:pStyle w:val="Nagwek1"/>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860"/>
        </w:tabs>
        <w:ind w:left="860" w:hanging="576"/>
      </w:pPr>
      <w:rPr>
        <w:rFonts w:cs="Times New Roman" w:hint="default"/>
        <w:sz w:val="28"/>
      </w:rPr>
    </w:lvl>
    <w:lvl w:ilvl="2">
      <w:start w:val="1"/>
      <w:numFmt w:val="decimal"/>
      <w:pStyle w:val="Nagwek3"/>
      <w:lvlText w:val="%1.%2.%3"/>
      <w:lvlJc w:val="left"/>
      <w:pPr>
        <w:tabs>
          <w:tab w:val="num" w:pos="1260"/>
        </w:tabs>
        <w:ind w:left="1260" w:hanging="720"/>
      </w:pPr>
      <w:rPr>
        <w:rFonts w:cs="Times New Roman" w:hint="default"/>
        <w:b w:val="0"/>
      </w:rPr>
    </w:lvl>
    <w:lvl w:ilvl="3">
      <w:start w:val="1"/>
      <w:numFmt w:val="decimal"/>
      <w:pStyle w:val="Nagwek4"/>
      <w:lvlText w:val="%1.%2.%3.%4"/>
      <w:lvlJc w:val="left"/>
      <w:pPr>
        <w:tabs>
          <w:tab w:val="num" w:pos="1290"/>
        </w:tabs>
        <w:ind w:left="1290" w:hanging="864"/>
      </w:pPr>
      <w:rPr>
        <w:rFonts w:ascii="Arial" w:hAnsi="Arial" w:cs="Times New Roman" w:hint="default"/>
        <w:b w:val="0"/>
        <w:bCs w:val="0"/>
        <w:i w:val="0"/>
        <w:iCs w:val="0"/>
        <w:caps w:val="0"/>
        <w:smallCaps w:val="0"/>
        <w:strike w:val="0"/>
        <w:dstrike w:val="0"/>
        <w:color w:val="003366"/>
        <w:spacing w:val="0"/>
        <w:w w:val="100"/>
        <w:kern w:val="0"/>
        <w:position w:val="0"/>
        <w:sz w:val="22"/>
        <w:u w:val="none"/>
        <w:effect w:val="none"/>
        <w:bdr w:val="none" w:sz="0" w:space="0" w:color="auto"/>
        <w:shd w:val="clear" w:color="auto" w:fill="auto"/>
        <w:em w:val="none"/>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5">
    <w:nsid w:val="17A42BC6"/>
    <w:multiLevelType w:val="hybridMultilevel"/>
    <w:tmpl w:val="804C8366"/>
    <w:lvl w:ilvl="0" w:tplc="0415000F">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rPr>
        <w:rFonts w:cs="Times New Roman"/>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186B7C8D"/>
    <w:multiLevelType w:val="hybridMultilevel"/>
    <w:tmpl w:val="08502752"/>
    <w:lvl w:ilvl="0" w:tplc="0415000F">
      <w:start w:val="1"/>
      <w:numFmt w:val="decimal"/>
      <w:lvlText w:val="%1."/>
      <w:lvlJc w:val="left"/>
      <w:pPr>
        <w:tabs>
          <w:tab w:val="num" w:pos="880"/>
        </w:tabs>
        <w:ind w:left="880" w:hanging="340"/>
      </w:pPr>
      <w:rPr>
        <w:rFonts w:hint="default"/>
        <w:b w:val="0"/>
      </w:rPr>
    </w:lvl>
    <w:lvl w:ilvl="1" w:tplc="B316E1EC">
      <w:start w:val="6"/>
      <w:numFmt w:val="decimal"/>
      <w:lvlText w:val="%2)"/>
      <w:lvlJc w:val="left"/>
      <w:pPr>
        <w:tabs>
          <w:tab w:val="num" w:pos="1965"/>
        </w:tabs>
        <w:ind w:left="1965" w:hanging="705"/>
      </w:pPr>
      <w:rPr>
        <w:rFonts w:hint="default"/>
      </w:rPr>
    </w:lvl>
    <w:lvl w:ilvl="2" w:tplc="91C0DC94">
      <w:start w:val="1"/>
      <w:numFmt w:val="lowerLetter"/>
      <w:lvlText w:val="%3)"/>
      <w:lvlJc w:val="left"/>
      <w:pPr>
        <w:tabs>
          <w:tab w:val="num" w:pos="2865"/>
        </w:tabs>
        <w:ind w:left="2865" w:hanging="705"/>
      </w:pPr>
      <w:rPr>
        <w:rFonts w:hint="default"/>
      </w:rPr>
    </w:lvl>
    <w:lvl w:ilvl="3" w:tplc="EDA8C89E">
      <w:start w:val="1"/>
      <w:numFmt w:val="decimal"/>
      <w:lvlText w:val="%4."/>
      <w:lvlJc w:val="left"/>
      <w:pPr>
        <w:tabs>
          <w:tab w:val="num" w:pos="3060"/>
        </w:tabs>
        <w:ind w:left="3060" w:hanging="360"/>
      </w:pPr>
      <w:rPr>
        <w:rFonts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nsid w:val="27B762B9"/>
    <w:multiLevelType w:val="hybridMultilevel"/>
    <w:tmpl w:val="41AE3B4E"/>
    <w:lvl w:ilvl="0" w:tplc="6B7E4E3A">
      <w:start w:val="1"/>
      <w:numFmt w:val="bullet"/>
      <w:lvlText w:val="•"/>
      <w:lvlJc w:val="left"/>
      <w:pPr>
        <w:tabs>
          <w:tab w:val="num" w:pos="720"/>
        </w:tabs>
        <w:ind w:left="720" w:hanging="360"/>
      </w:pPr>
      <w:rPr>
        <w:rFonts w:ascii="Arial" w:hAnsi="Arial" w:hint="default"/>
      </w:rPr>
    </w:lvl>
    <w:lvl w:ilvl="1" w:tplc="5CDCBA58" w:tentative="1">
      <w:start w:val="1"/>
      <w:numFmt w:val="bullet"/>
      <w:lvlText w:val="•"/>
      <w:lvlJc w:val="left"/>
      <w:pPr>
        <w:tabs>
          <w:tab w:val="num" w:pos="1440"/>
        </w:tabs>
        <w:ind w:left="1440" w:hanging="360"/>
      </w:pPr>
      <w:rPr>
        <w:rFonts w:ascii="Arial" w:hAnsi="Arial" w:hint="default"/>
      </w:rPr>
    </w:lvl>
    <w:lvl w:ilvl="2" w:tplc="57DE46DC" w:tentative="1">
      <w:start w:val="1"/>
      <w:numFmt w:val="bullet"/>
      <w:lvlText w:val="•"/>
      <w:lvlJc w:val="left"/>
      <w:pPr>
        <w:tabs>
          <w:tab w:val="num" w:pos="2160"/>
        </w:tabs>
        <w:ind w:left="2160" w:hanging="360"/>
      </w:pPr>
      <w:rPr>
        <w:rFonts w:ascii="Arial" w:hAnsi="Arial" w:hint="default"/>
      </w:rPr>
    </w:lvl>
    <w:lvl w:ilvl="3" w:tplc="F0AC9DE4" w:tentative="1">
      <w:start w:val="1"/>
      <w:numFmt w:val="bullet"/>
      <w:lvlText w:val="•"/>
      <w:lvlJc w:val="left"/>
      <w:pPr>
        <w:tabs>
          <w:tab w:val="num" w:pos="2880"/>
        </w:tabs>
        <w:ind w:left="2880" w:hanging="360"/>
      </w:pPr>
      <w:rPr>
        <w:rFonts w:ascii="Arial" w:hAnsi="Arial" w:hint="default"/>
      </w:rPr>
    </w:lvl>
    <w:lvl w:ilvl="4" w:tplc="D5B0536C" w:tentative="1">
      <w:start w:val="1"/>
      <w:numFmt w:val="bullet"/>
      <w:lvlText w:val="•"/>
      <w:lvlJc w:val="left"/>
      <w:pPr>
        <w:tabs>
          <w:tab w:val="num" w:pos="3600"/>
        </w:tabs>
        <w:ind w:left="3600" w:hanging="360"/>
      </w:pPr>
      <w:rPr>
        <w:rFonts w:ascii="Arial" w:hAnsi="Arial" w:hint="default"/>
      </w:rPr>
    </w:lvl>
    <w:lvl w:ilvl="5" w:tplc="CFF09F6E" w:tentative="1">
      <w:start w:val="1"/>
      <w:numFmt w:val="bullet"/>
      <w:lvlText w:val="•"/>
      <w:lvlJc w:val="left"/>
      <w:pPr>
        <w:tabs>
          <w:tab w:val="num" w:pos="4320"/>
        </w:tabs>
        <w:ind w:left="4320" w:hanging="360"/>
      </w:pPr>
      <w:rPr>
        <w:rFonts w:ascii="Arial" w:hAnsi="Arial" w:hint="default"/>
      </w:rPr>
    </w:lvl>
    <w:lvl w:ilvl="6" w:tplc="A74EE6DA" w:tentative="1">
      <w:start w:val="1"/>
      <w:numFmt w:val="bullet"/>
      <w:lvlText w:val="•"/>
      <w:lvlJc w:val="left"/>
      <w:pPr>
        <w:tabs>
          <w:tab w:val="num" w:pos="5040"/>
        </w:tabs>
        <w:ind w:left="5040" w:hanging="360"/>
      </w:pPr>
      <w:rPr>
        <w:rFonts w:ascii="Arial" w:hAnsi="Arial" w:hint="default"/>
      </w:rPr>
    </w:lvl>
    <w:lvl w:ilvl="7" w:tplc="C108ECFC" w:tentative="1">
      <w:start w:val="1"/>
      <w:numFmt w:val="bullet"/>
      <w:lvlText w:val="•"/>
      <w:lvlJc w:val="left"/>
      <w:pPr>
        <w:tabs>
          <w:tab w:val="num" w:pos="5760"/>
        </w:tabs>
        <w:ind w:left="5760" w:hanging="360"/>
      </w:pPr>
      <w:rPr>
        <w:rFonts w:ascii="Arial" w:hAnsi="Arial" w:hint="default"/>
      </w:rPr>
    </w:lvl>
    <w:lvl w:ilvl="8" w:tplc="FD44A898" w:tentative="1">
      <w:start w:val="1"/>
      <w:numFmt w:val="bullet"/>
      <w:lvlText w:val="•"/>
      <w:lvlJc w:val="left"/>
      <w:pPr>
        <w:tabs>
          <w:tab w:val="num" w:pos="6480"/>
        </w:tabs>
        <w:ind w:left="6480" w:hanging="360"/>
      </w:pPr>
      <w:rPr>
        <w:rFonts w:ascii="Arial" w:hAnsi="Arial" w:hint="default"/>
      </w:rPr>
    </w:lvl>
  </w:abstractNum>
  <w:abstractNum w:abstractNumId="8">
    <w:nsid w:val="2AEC5847"/>
    <w:multiLevelType w:val="hybridMultilevel"/>
    <w:tmpl w:val="EAE0356A"/>
    <w:lvl w:ilvl="0" w:tplc="FFFFFFFF">
      <w:start w:val="1"/>
      <w:numFmt w:val="bullet"/>
      <w:lvlText w:val=""/>
      <w:lvlJc w:val="left"/>
      <w:pPr>
        <w:tabs>
          <w:tab w:val="num" w:pos="1196"/>
        </w:tabs>
        <w:ind w:left="1196" w:hanging="360"/>
      </w:pPr>
      <w:rPr>
        <w:rFonts w:ascii="Wingdings" w:hAnsi="Wingdings" w:hint="default"/>
      </w:rPr>
    </w:lvl>
    <w:lvl w:ilvl="1" w:tplc="FFFFFFFF">
      <w:start w:val="1"/>
      <w:numFmt w:val="bullet"/>
      <w:lvlText w:val="o"/>
      <w:lvlJc w:val="left"/>
      <w:pPr>
        <w:tabs>
          <w:tab w:val="num" w:pos="1916"/>
        </w:tabs>
        <w:ind w:left="1916" w:hanging="360"/>
      </w:pPr>
      <w:rPr>
        <w:rFonts w:ascii="Courier New" w:hAnsi="Courier New" w:hint="default"/>
      </w:rPr>
    </w:lvl>
    <w:lvl w:ilvl="2" w:tplc="FFFFFFFF">
      <w:start w:val="1"/>
      <w:numFmt w:val="bullet"/>
      <w:lvlText w:val=""/>
      <w:lvlJc w:val="left"/>
      <w:pPr>
        <w:tabs>
          <w:tab w:val="num" w:pos="2636"/>
        </w:tabs>
        <w:ind w:left="2636" w:hanging="360"/>
      </w:pPr>
      <w:rPr>
        <w:rFonts w:ascii="Wingdings" w:hAnsi="Wingdings" w:hint="default"/>
      </w:rPr>
    </w:lvl>
    <w:lvl w:ilvl="3" w:tplc="FFFFFFFF">
      <w:start w:val="1"/>
      <w:numFmt w:val="bullet"/>
      <w:lvlText w:val=""/>
      <w:lvlJc w:val="left"/>
      <w:pPr>
        <w:tabs>
          <w:tab w:val="num" w:pos="3356"/>
        </w:tabs>
        <w:ind w:left="3356" w:hanging="360"/>
      </w:pPr>
      <w:rPr>
        <w:rFonts w:ascii="Symbol" w:hAnsi="Symbol" w:hint="default"/>
      </w:rPr>
    </w:lvl>
    <w:lvl w:ilvl="4" w:tplc="FFFFFFFF">
      <w:start w:val="1"/>
      <w:numFmt w:val="bullet"/>
      <w:lvlText w:val="o"/>
      <w:lvlJc w:val="left"/>
      <w:pPr>
        <w:tabs>
          <w:tab w:val="num" w:pos="4076"/>
        </w:tabs>
        <w:ind w:left="4076" w:hanging="360"/>
      </w:pPr>
      <w:rPr>
        <w:rFonts w:ascii="Courier New" w:hAnsi="Courier New" w:hint="default"/>
      </w:rPr>
    </w:lvl>
    <w:lvl w:ilvl="5" w:tplc="FFFFFFFF">
      <w:start w:val="1"/>
      <w:numFmt w:val="bullet"/>
      <w:lvlText w:val=""/>
      <w:lvlJc w:val="left"/>
      <w:pPr>
        <w:tabs>
          <w:tab w:val="num" w:pos="4796"/>
        </w:tabs>
        <w:ind w:left="4796" w:hanging="360"/>
      </w:pPr>
      <w:rPr>
        <w:rFonts w:ascii="Wingdings" w:hAnsi="Wingdings" w:hint="default"/>
      </w:rPr>
    </w:lvl>
    <w:lvl w:ilvl="6" w:tplc="FFFFFFFF">
      <w:start w:val="1"/>
      <w:numFmt w:val="bullet"/>
      <w:lvlText w:val=""/>
      <w:lvlJc w:val="left"/>
      <w:pPr>
        <w:tabs>
          <w:tab w:val="num" w:pos="5516"/>
        </w:tabs>
        <w:ind w:left="5516" w:hanging="360"/>
      </w:pPr>
      <w:rPr>
        <w:rFonts w:ascii="Symbol" w:hAnsi="Symbol" w:hint="default"/>
      </w:rPr>
    </w:lvl>
    <w:lvl w:ilvl="7" w:tplc="FFFFFFFF">
      <w:start w:val="1"/>
      <w:numFmt w:val="bullet"/>
      <w:lvlText w:val="o"/>
      <w:lvlJc w:val="left"/>
      <w:pPr>
        <w:tabs>
          <w:tab w:val="num" w:pos="6236"/>
        </w:tabs>
        <w:ind w:left="6236" w:hanging="360"/>
      </w:pPr>
      <w:rPr>
        <w:rFonts w:ascii="Courier New" w:hAnsi="Courier New" w:hint="default"/>
      </w:rPr>
    </w:lvl>
    <w:lvl w:ilvl="8" w:tplc="FFFFFFFF">
      <w:start w:val="1"/>
      <w:numFmt w:val="bullet"/>
      <w:lvlText w:val=""/>
      <w:lvlJc w:val="left"/>
      <w:pPr>
        <w:tabs>
          <w:tab w:val="num" w:pos="6956"/>
        </w:tabs>
        <w:ind w:left="6956" w:hanging="360"/>
      </w:pPr>
      <w:rPr>
        <w:rFonts w:ascii="Wingdings" w:hAnsi="Wingdings" w:hint="default"/>
      </w:rPr>
    </w:lvl>
  </w:abstractNum>
  <w:abstractNum w:abstractNumId="9">
    <w:nsid w:val="3FA024C8"/>
    <w:multiLevelType w:val="hybridMultilevel"/>
    <w:tmpl w:val="9F7E3E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4AA25EDD"/>
    <w:multiLevelType w:val="hybridMultilevel"/>
    <w:tmpl w:val="73E47038"/>
    <w:lvl w:ilvl="0" w:tplc="3782ED42">
      <w:start w:val="1"/>
      <w:numFmt w:val="decimal"/>
      <w:lvlText w:val="%1."/>
      <w:lvlJc w:val="left"/>
      <w:pPr>
        <w:tabs>
          <w:tab w:val="num" w:pos="880"/>
        </w:tabs>
        <w:ind w:left="880" w:hanging="340"/>
      </w:pPr>
      <w:rPr>
        <w:rFonts w:hint="default"/>
        <w:b w:val="0"/>
        <w:sz w:val="24"/>
        <w:szCs w:val="24"/>
      </w:rPr>
    </w:lvl>
    <w:lvl w:ilvl="1" w:tplc="B316E1EC">
      <w:start w:val="6"/>
      <w:numFmt w:val="decimal"/>
      <w:lvlText w:val="%2)"/>
      <w:lvlJc w:val="left"/>
      <w:pPr>
        <w:tabs>
          <w:tab w:val="num" w:pos="1965"/>
        </w:tabs>
        <w:ind w:left="1965" w:hanging="705"/>
      </w:pPr>
      <w:rPr>
        <w:rFonts w:hint="default"/>
      </w:rPr>
    </w:lvl>
    <w:lvl w:ilvl="2" w:tplc="91C0DC94">
      <w:start w:val="1"/>
      <w:numFmt w:val="lowerLetter"/>
      <w:lvlText w:val="%3)"/>
      <w:lvlJc w:val="left"/>
      <w:pPr>
        <w:tabs>
          <w:tab w:val="num" w:pos="2865"/>
        </w:tabs>
        <w:ind w:left="2865" w:hanging="705"/>
      </w:pPr>
      <w:rPr>
        <w:rFonts w:hint="default"/>
      </w:rPr>
    </w:lvl>
    <w:lvl w:ilvl="3" w:tplc="EDA8C89E">
      <w:start w:val="1"/>
      <w:numFmt w:val="decimal"/>
      <w:lvlText w:val="%4."/>
      <w:lvlJc w:val="left"/>
      <w:pPr>
        <w:tabs>
          <w:tab w:val="num" w:pos="3060"/>
        </w:tabs>
        <w:ind w:left="3060" w:hanging="360"/>
      </w:pPr>
      <w:rPr>
        <w:rFonts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
    <w:nsid w:val="662028CC"/>
    <w:multiLevelType w:val="hybridMultilevel"/>
    <w:tmpl w:val="CE900052"/>
    <w:lvl w:ilvl="0" w:tplc="A5788842">
      <w:start w:val="1"/>
      <w:numFmt w:val="bullet"/>
      <w:lvlText w:val="•"/>
      <w:lvlJc w:val="left"/>
      <w:pPr>
        <w:tabs>
          <w:tab w:val="num" w:pos="720"/>
        </w:tabs>
        <w:ind w:left="720" w:hanging="360"/>
      </w:pPr>
      <w:rPr>
        <w:rFonts w:ascii="Arial" w:hAnsi="Arial" w:hint="default"/>
      </w:rPr>
    </w:lvl>
    <w:lvl w:ilvl="1" w:tplc="E516099A" w:tentative="1">
      <w:start w:val="1"/>
      <w:numFmt w:val="bullet"/>
      <w:lvlText w:val="•"/>
      <w:lvlJc w:val="left"/>
      <w:pPr>
        <w:tabs>
          <w:tab w:val="num" w:pos="1440"/>
        </w:tabs>
        <w:ind w:left="1440" w:hanging="360"/>
      </w:pPr>
      <w:rPr>
        <w:rFonts w:ascii="Arial" w:hAnsi="Arial" w:hint="default"/>
      </w:rPr>
    </w:lvl>
    <w:lvl w:ilvl="2" w:tplc="D2688AFA" w:tentative="1">
      <w:start w:val="1"/>
      <w:numFmt w:val="bullet"/>
      <w:lvlText w:val="•"/>
      <w:lvlJc w:val="left"/>
      <w:pPr>
        <w:tabs>
          <w:tab w:val="num" w:pos="2160"/>
        </w:tabs>
        <w:ind w:left="2160" w:hanging="360"/>
      </w:pPr>
      <w:rPr>
        <w:rFonts w:ascii="Arial" w:hAnsi="Arial" w:hint="default"/>
      </w:rPr>
    </w:lvl>
    <w:lvl w:ilvl="3" w:tplc="179402CE" w:tentative="1">
      <w:start w:val="1"/>
      <w:numFmt w:val="bullet"/>
      <w:lvlText w:val="•"/>
      <w:lvlJc w:val="left"/>
      <w:pPr>
        <w:tabs>
          <w:tab w:val="num" w:pos="2880"/>
        </w:tabs>
        <w:ind w:left="2880" w:hanging="360"/>
      </w:pPr>
      <w:rPr>
        <w:rFonts w:ascii="Arial" w:hAnsi="Arial" w:hint="default"/>
      </w:rPr>
    </w:lvl>
    <w:lvl w:ilvl="4" w:tplc="FB488E00" w:tentative="1">
      <w:start w:val="1"/>
      <w:numFmt w:val="bullet"/>
      <w:lvlText w:val="•"/>
      <w:lvlJc w:val="left"/>
      <w:pPr>
        <w:tabs>
          <w:tab w:val="num" w:pos="3600"/>
        </w:tabs>
        <w:ind w:left="3600" w:hanging="360"/>
      </w:pPr>
      <w:rPr>
        <w:rFonts w:ascii="Arial" w:hAnsi="Arial" w:hint="default"/>
      </w:rPr>
    </w:lvl>
    <w:lvl w:ilvl="5" w:tplc="04441DE0" w:tentative="1">
      <w:start w:val="1"/>
      <w:numFmt w:val="bullet"/>
      <w:lvlText w:val="•"/>
      <w:lvlJc w:val="left"/>
      <w:pPr>
        <w:tabs>
          <w:tab w:val="num" w:pos="4320"/>
        </w:tabs>
        <w:ind w:left="4320" w:hanging="360"/>
      </w:pPr>
      <w:rPr>
        <w:rFonts w:ascii="Arial" w:hAnsi="Arial" w:hint="default"/>
      </w:rPr>
    </w:lvl>
    <w:lvl w:ilvl="6" w:tplc="70FAC37A" w:tentative="1">
      <w:start w:val="1"/>
      <w:numFmt w:val="bullet"/>
      <w:lvlText w:val="•"/>
      <w:lvlJc w:val="left"/>
      <w:pPr>
        <w:tabs>
          <w:tab w:val="num" w:pos="5040"/>
        </w:tabs>
        <w:ind w:left="5040" w:hanging="360"/>
      </w:pPr>
      <w:rPr>
        <w:rFonts w:ascii="Arial" w:hAnsi="Arial" w:hint="default"/>
      </w:rPr>
    </w:lvl>
    <w:lvl w:ilvl="7" w:tplc="C8E225AE" w:tentative="1">
      <w:start w:val="1"/>
      <w:numFmt w:val="bullet"/>
      <w:lvlText w:val="•"/>
      <w:lvlJc w:val="left"/>
      <w:pPr>
        <w:tabs>
          <w:tab w:val="num" w:pos="5760"/>
        </w:tabs>
        <w:ind w:left="5760" w:hanging="360"/>
      </w:pPr>
      <w:rPr>
        <w:rFonts w:ascii="Arial" w:hAnsi="Arial" w:hint="default"/>
      </w:rPr>
    </w:lvl>
    <w:lvl w:ilvl="8" w:tplc="FDD6B1CE" w:tentative="1">
      <w:start w:val="1"/>
      <w:numFmt w:val="bullet"/>
      <w:lvlText w:val="•"/>
      <w:lvlJc w:val="left"/>
      <w:pPr>
        <w:tabs>
          <w:tab w:val="num" w:pos="6480"/>
        </w:tabs>
        <w:ind w:left="6480" w:hanging="360"/>
      </w:pPr>
      <w:rPr>
        <w:rFonts w:ascii="Arial" w:hAnsi="Arial" w:hint="default"/>
      </w:rPr>
    </w:lvl>
  </w:abstractNum>
  <w:abstractNum w:abstractNumId="12">
    <w:nsid w:val="7BEC6BDD"/>
    <w:multiLevelType w:val="hybridMultilevel"/>
    <w:tmpl w:val="83D859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0"/>
  </w:num>
  <w:num w:numId="4">
    <w:abstractNumId w:val="5"/>
  </w:num>
  <w:num w:numId="5">
    <w:abstractNumId w:val="8"/>
  </w:num>
  <w:num w:numId="6">
    <w:abstractNumId w:val="1"/>
  </w:num>
  <w:num w:numId="7">
    <w:abstractNumId w:val="3"/>
  </w:num>
  <w:num w:numId="8">
    <w:abstractNumId w:val="11"/>
  </w:num>
  <w:num w:numId="9">
    <w:abstractNumId w:val="7"/>
  </w:num>
  <w:num w:numId="10">
    <w:abstractNumId w:val="0"/>
  </w:num>
  <w:num w:numId="11">
    <w:abstractNumId w:val="12"/>
  </w:num>
  <w:num w:numId="12">
    <w:abstractNumId w:val="9"/>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Naszkowski">
    <w15:presenceInfo w15:providerId="Windows Live" w15:userId="cde482d7b3ca32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2051"/>
    <o:shapelayout v:ext="edit">
      <o:idmap v:ext="edit" data="2"/>
      <o:rules v:ext="edit">
        <o:r id="V:Rule3" type="connector" idref="#AutoShape 1"/>
        <o:r id="V:Rule4" type="connector" idref="#AutoShape 6"/>
      </o:rules>
    </o:shapelayout>
  </w:hdrShapeDefaults>
  <w:footnotePr>
    <w:footnote w:id="-1"/>
    <w:footnote w:id="0"/>
  </w:footnotePr>
  <w:endnotePr>
    <w:endnote w:id="-1"/>
    <w:endnote w:id="0"/>
  </w:endnotePr>
  <w:compat>
    <w:compatSetting w:name="compatibilityMode" w:uri="http://schemas.microsoft.com/office/word" w:val="12"/>
  </w:compat>
  <w:rsids>
    <w:rsidRoot w:val="0091114C"/>
    <w:rsid w:val="00012E6C"/>
    <w:rsid w:val="0001716D"/>
    <w:rsid w:val="000172B5"/>
    <w:rsid w:val="00026162"/>
    <w:rsid w:val="000303D3"/>
    <w:rsid w:val="0003140C"/>
    <w:rsid w:val="00031DBE"/>
    <w:rsid w:val="000340D0"/>
    <w:rsid w:val="00036A7C"/>
    <w:rsid w:val="000402C0"/>
    <w:rsid w:val="000413A9"/>
    <w:rsid w:val="00042C42"/>
    <w:rsid w:val="00044B76"/>
    <w:rsid w:val="00052EA4"/>
    <w:rsid w:val="0005306F"/>
    <w:rsid w:val="000533FA"/>
    <w:rsid w:val="000574DA"/>
    <w:rsid w:val="00060FA1"/>
    <w:rsid w:val="000648D6"/>
    <w:rsid w:val="00066C01"/>
    <w:rsid w:val="0007404C"/>
    <w:rsid w:val="00074D19"/>
    <w:rsid w:val="00075F7E"/>
    <w:rsid w:val="000811F1"/>
    <w:rsid w:val="00082560"/>
    <w:rsid w:val="00082645"/>
    <w:rsid w:val="00083EC9"/>
    <w:rsid w:val="000861F9"/>
    <w:rsid w:val="00092C28"/>
    <w:rsid w:val="000A1F1C"/>
    <w:rsid w:val="000A21B6"/>
    <w:rsid w:val="000A4162"/>
    <w:rsid w:val="000A441C"/>
    <w:rsid w:val="000A4789"/>
    <w:rsid w:val="000B7B57"/>
    <w:rsid w:val="000C2CE1"/>
    <w:rsid w:val="000C79F3"/>
    <w:rsid w:val="000D1025"/>
    <w:rsid w:val="000D29A3"/>
    <w:rsid w:val="000E05E4"/>
    <w:rsid w:val="000E36C3"/>
    <w:rsid w:val="000F1B34"/>
    <w:rsid w:val="000F471C"/>
    <w:rsid w:val="000F58EF"/>
    <w:rsid w:val="000F65F5"/>
    <w:rsid w:val="00101041"/>
    <w:rsid w:val="00105CE5"/>
    <w:rsid w:val="00107473"/>
    <w:rsid w:val="00110786"/>
    <w:rsid w:val="001164E6"/>
    <w:rsid w:val="001219CB"/>
    <w:rsid w:val="001230BC"/>
    <w:rsid w:val="001233F5"/>
    <w:rsid w:val="001235D5"/>
    <w:rsid w:val="001312F1"/>
    <w:rsid w:val="001340B5"/>
    <w:rsid w:val="0013672E"/>
    <w:rsid w:val="001370FC"/>
    <w:rsid w:val="0013772F"/>
    <w:rsid w:val="001508B6"/>
    <w:rsid w:val="00153503"/>
    <w:rsid w:val="001628FF"/>
    <w:rsid w:val="00167041"/>
    <w:rsid w:val="0016731D"/>
    <w:rsid w:val="0016757D"/>
    <w:rsid w:val="00171C9C"/>
    <w:rsid w:val="00173045"/>
    <w:rsid w:val="00181232"/>
    <w:rsid w:val="001861AB"/>
    <w:rsid w:val="0019417C"/>
    <w:rsid w:val="00194269"/>
    <w:rsid w:val="00194624"/>
    <w:rsid w:val="001A6895"/>
    <w:rsid w:val="001A70D0"/>
    <w:rsid w:val="001B2B87"/>
    <w:rsid w:val="001B3E6A"/>
    <w:rsid w:val="001B6526"/>
    <w:rsid w:val="001C65B8"/>
    <w:rsid w:val="001C6D70"/>
    <w:rsid w:val="001C7FD9"/>
    <w:rsid w:val="001F361A"/>
    <w:rsid w:val="002136B8"/>
    <w:rsid w:val="00215093"/>
    <w:rsid w:val="002164A6"/>
    <w:rsid w:val="00217136"/>
    <w:rsid w:val="00217A0E"/>
    <w:rsid w:val="002403D0"/>
    <w:rsid w:val="00241338"/>
    <w:rsid w:val="00244C84"/>
    <w:rsid w:val="002518F4"/>
    <w:rsid w:val="00253A4F"/>
    <w:rsid w:val="00257DEF"/>
    <w:rsid w:val="0026101C"/>
    <w:rsid w:val="00262226"/>
    <w:rsid w:val="00262828"/>
    <w:rsid w:val="002630CA"/>
    <w:rsid w:val="002637FE"/>
    <w:rsid w:val="0026418E"/>
    <w:rsid w:val="00264317"/>
    <w:rsid w:val="0026574C"/>
    <w:rsid w:val="00274294"/>
    <w:rsid w:val="0027588C"/>
    <w:rsid w:val="00282C7B"/>
    <w:rsid w:val="002845C0"/>
    <w:rsid w:val="0028495C"/>
    <w:rsid w:val="00287489"/>
    <w:rsid w:val="00291444"/>
    <w:rsid w:val="0029172B"/>
    <w:rsid w:val="00293879"/>
    <w:rsid w:val="0029759C"/>
    <w:rsid w:val="002A18B4"/>
    <w:rsid w:val="002B0DC5"/>
    <w:rsid w:val="002B1A31"/>
    <w:rsid w:val="002B2942"/>
    <w:rsid w:val="002B297D"/>
    <w:rsid w:val="002B7612"/>
    <w:rsid w:val="002C32B0"/>
    <w:rsid w:val="002C37C9"/>
    <w:rsid w:val="002C71D0"/>
    <w:rsid w:val="002D1CEA"/>
    <w:rsid w:val="002D4361"/>
    <w:rsid w:val="002D4AD4"/>
    <w:rsid w:val="002F3B91"/>
    <w:rsid w:val="002F598C"/>
    <w:rsid w:val="003018D7"/>
    <w:rsid w:val="0030324B"/>
    <w:rsid w:val="00310D7D"/>
    <w:rsid w:val="00314EF4"/>
    <w:rsid w:val="003307EF"/>
    <w:rsid w:val="003318B2"/>
    <w:rsid w:val="00331F85"/>
    <w:rsid w:val="003328C5"/>
    <w:rsid w:val="00340D4F"/>
    <w:rsid w:val="00340EC9"/>
    <w:rsid w:val="00350945"/>
    <w:rsid w:val="00350ACD"/>
    <w:rsid w:val="003533CC"/>
    <w:rsid w:val="003567BA"/>
    <w:rsid w:val="00356D87"/>
    <w:rsid w:val="00361250"/>
    <w:rsid w:val="003628C8"/>
    <w:rsid w:val="003631B1"/>
    <w:rsid w:val="00363A83"/>
    <w:rsid w:val="00366FD9"/>
    <w:rsid w:val="00375EDA"/>
    <w:rsid w:val="00393F45"/>
    <w:rsid w:val="003945FE"/>
    <w:rsid w:val="00395B9B"/>
    <w:rsid w:val="00396736"/>
    <w:rsid w:val="003A1D5A"/>
    <w:rsid w:val="003A3BFC"/>
    <w:rsid w:val="003A5C9C"/>
    <w:rsid w:val="003B16E2"/>
    <w:rsid w:val="003B471A"/>
    <w:rsid w:val="003C52D9"/>
    <w:rsid w:val="003E526A"/>
    <w:rsid w:val="003E6A84"/>
    <w:rsid w:val="003E7295"/>
    <w:rsid w:val="003F0C6F"/>
    <w:rsid w:val="00400FEF"/>
    <w:rsid w:val="004015EE"/>
    <w:rsid w:val="00401E3E"/>
    <w:rsid w:val="00402405"/>
    <w:rsid w:val="004024AD"/>
    <w:rsid w:val="00403974"/>
    <w:rsid w:val="00425B2A"/>
    <w:rsid w:val="00427053"/>
    <w:rsid w:val="00430D8C"/>
    <w:rsid w:val="0043460A"/>
    <w:rsid w:val="00436D4E"/>
    <w:rsid w:val="0044085A"/>
    <w:rsid w:val="00453880"/>
    <w:rsid w:val="004561CC"/>
    <w:rsid w:val="004567BF"/>
    <w:rsid w:val="0045714E"/>
    <w:rsid w:val="004601F1"/>
    <w:rsid w:val="0046403D"/>
    <w:rsid w:val="00470EC8"/>
    <w:rsid w:val="00475505"/>
    <w:rsid w:val="0047587A"/>
    <w:rsid w:val="00477D87"/>
    <w:rsid w:val="00482620"/>
    <w:rsid w:val="004846E2"/>
    <w:rsid w:val="004928E2"/>
    <w:rsid w:val="00493051"/>
    <w:rsid w:val="004B1D99"/>
    <w:rsid w:val="004B3152"/>
    <w:rsid w:val="004B4958"/>
    <w:rsid w:val="004C188E"/>
    <w:rsid w:val="004D0FFE"/>
    <w:rsid w:val="004D1ED4"/>
    <w:rsid w:val="004D292A"/>
    <w:rsid w:val="004D495F"/>
    <w:rsid w:val="004D660B"/>
    <w:rsid w:val="004F057F"/>
    <w:rsid w:val="004F0C98"/>
    <w:rsid w:val="004F2878"/>
    <w:rsid w:val="004F3CAA"/>
    <w:rsid w:val="004F5E88"/>
    <w:rsid w:val="00504E22"/>
    <w:rsid w:val="00505BA9"/>
    <w:rsid w:val="00510C3D"/>
    <w:rsid w:val="00513C54"/>
    <w:rsid w:val="005159A8"/>
    <w:rsid w:val="005219C9"/>
    <w:rsid w:val="00522C58"/>
    <w:rsid w:val="0052428A"/>
    <w:rsid w:val="0052484C"/>
    <w:rsid w:val="00527345"/>
    <w:rsid w:val="00531B86"/>
    <w:rsid w:val="00532937"/>
    <w:rsid w:val="00536BA7"/>
    <w:rsid w:val="005400EB"/>
    <w:rsid w:val="005575FA"/>
    <w:rsid w:val="00565784"/>
    <w:rsid w:val="00573D0F"/>
    <w:rsid w:val="00583D0A"/>
    <w:rsid w:val="00584510"/>
    <w:rsid w:val="00591438"/>
    <w:rsid w:val="00593FA7"/>
    <w:rsid w:val="00595A06"/>
    <w:rsid w:val="00595D7A"/>
    <w:rsid w:val="005964AB"/>
    <w:rsid w:val="005A657D"/>
    <w:rsid w:val="005B31E8"/>
    <w:rsid w:val="005B353C"/>
    <w:rsid w:val="005B3547"/>
    <w:rsid w:val="005C07DC"/>
    <w:rsid w:val="005E6DFC"/>
    <w:rsid w:val="005F0F0C"/>
    <w:rsid w:val="005F1216"/>
    <w:rsid w:val="005F1B89"/>
    <w:rsid w:val="005F49A1"/>
    <w:rsid w:val="006040E4"/>
    <w:rsid w:val="006050A8"/>
    <w:rsid w:val="0060691E"/>
    <w:rsid w:val="00606B4A"/>
    <w:rsid w:val="006106FF"/>
    <w:rsid w:val="006133F4"/>
    <w:rsid w:val="00636BA5"/>
    <w:rsid w:val="00641A12"/>
    <w:rsid w:val="00642AC0"/>
    <w:rsid w:val="00642E9D"/>
    <w:rsid w:val="006437A0"/>
    <w:rsid w:val="00644C35"/>
    <w:rsid w:val="00646174"/>
    <w:rsid w:val="00650AB2"/>
    <w:rsid w:val="00651685"/>
    <w:rsid w:val="00653D5B"/>
    <w:rsid w:val="00665698"/>
    <w:rsid w:val="00665801"/>
    <w:rsid w:val="006772E4"/>
    <w:rsid w:val="00680291"/>
    <w:rsid w:val="00680775"/>
    <w:rsid w:val="00685187"/>
    <w:rsid w:val="00690B5D"/>
    <w:rsid w:val="00691C8B"/>
    <w:rsid w:val="0069311B"/>
    <w:rsid w:val="00694919"/>
    <w:rsid w:val="006B072B"/>
    <w:rsid w:val="006C38BD"/>
    <w:rsid w:val="006C7A09"/>
    <w:rsid w:val="006D3A1F"/>
    <w:rsid w:val="006D3C3A"/>
    <w:rsid w:val="006D697F"/>
    <w:rsid w:val="006D7AE1"/>
    <w:rsid w:val="006E04B9"/>
    <w:rsid w:val="006E20BA"/>
    <w:rsid w:val="006E258F"/>
    <w:rsid w:val="006E74C0"/>
    <w:rsid w:val="006E794B"/>
    <w:rsid w:val="006F48D3"/>
    <w:rsid w:val="00700F97"/>
    <w:rsid w:val="007017F5"/>
    <w:rsid w:val="00710D2E"/>
    <w:rsid w:val="00711BDB"/>
    <w:rsid w:val="00720F82"/>
    <w:rsid w:val="0072350E"/>
    <w:rsid w:val="00726AAD"/>
    <w:rsid w:val="00727D3D"/>
    <w:rsid w:val="007315B5"/>
    <w:rsid w:val="007337F7"/>
    <w:rsid w:val="00734B8D"/>
    <w:rsid w:val="00737978"/>
    <w:rsid w:val="007451DC"/>
    <w:rsid w:val="00746F85"/>
    <w:rsid w:val="007530F9"/>
    <w:rsid w:val="00753CF4"/>
    <w:rsid w:val="00755038"/>
    <w:rsid w:val="0075561E"/>
    <w:rsid w:val="00760207"/>
    <w:rsid w:val="00764E86"/>
    <w:rsid w:val="0076514B"/>
    <w:rsid w:val="00776B26"/>
    <w:rsid w:val="00777263"/>
    <w:rsid w:val="007840B7"/>
    <w:rsid w:val="007840BA"/>
    <w:rsid w:val="00787E74"/>
    <w:rsid w:val="007A53B0"/>
    <w:rsid w:val="007A5848"/>
    <w:rsid w:val="007B2D2D"/>
    <w:rsid w:val="007D2443"/>
    <w:rsid w:val="007E07DC"/>
    <w:rsid w:val="007E0A77"/>
    <w:rsid w:val="007E0A94"/>
    <w:rsid w:val="007E2932"/>
    <w:rsid w:val="007E4A0D"/>
    <w:rsid w:val="007F5017"/>
    <w:rsid w:val="007F671D"/>
    <w:rsid w:val="00811690"/>
    <w:rsid w:val="0081313D"/>
    <w:rsid w:val="00815592"/>
    <w:rsid w:val="00816329"/>
    <w:rsid w:val="00821D6E"/>
    <w:rsid w:val="00822951"/>
    <w:rsid w:val="00830F02"/>
    <w:rsid w:val="00833653"/>
    <w:rsid w:val="008355B9"/>
    <w:rsid w:val="00841A08"/>
    <w:rsid w:val="00842781"/>
    <w:rsid w:val="00844E40"/>
    <w:rsid w:val="0085021E"/>
    <w:rsid w:val="00852A3B"/>
    <w:rsid w:val="00852C2C"/>
    <w:rsid w:val="00854EC4"/>
    <w:rsid w:val="008573D1"/>
    <w:rsid w:val="008630CA"/>
    <w:rsid w:val="00870187"/>
    <w:rsid w:val="00874C8D"/>
    <w:rsid w:val="008773A3"/>
    <w:rsid w:val="00883BA5"/>
    <w:rsid w:val="008903C9"/>
    <w:rsid w:val="00891CBE"/>
    <w:rsid w:val="00894613"/>
    <w:rsid w:val="0089560C"/>
    <w:rsid w:val="00896796"/>
    <w:rsid w:val="0089762E"/>
    <w:rsid w:val="008A128E"/>
    <w:rsid w:val="008A2F8E"/>
    <w:rsid w:val="008A4B9B"/>
    <w:rsid w:val="008A5130"/>
    <w:rsid w:val="008A56FC"/>
    <w:rsid w:val="008B1DC6"/>
    <w:rsid w:val="008B26E0"/>
    <w:rsid w:val="008B2FC9"/>
    <w:rsid w:val="008C0B6C"/>
    <w:rsid w:val="008C153C"/>
    <w:rsid w:val="008C5275"/>
    <w:rsid w:val="008C6F25"/>
    <w:rsid w:val="008D0B60"/>
    <w:rsid w:val="008D5DED"/>
    <w:rsid w:val="008E1CAB"/>
    <w:rsid w:val="008E75B2"/>
    <w:rsid w:val="008F0038"/>
    <w:rsid w:val="008F0D93"/>
    <w:rsid w:val="008F1AEC"/>
    <w:rsid w:val="008F5001"/>
    <w:rsid w:val="008F7745"/>
    <w:rsid w:val="008F7B40"/>
    <w:rsid w:val="00900289"/>
    <w:rsid w:val="0090131F"/>
    <w:rsid w:val="00907F13"/>
    <w:rsid w:val="0091114C"/>
    <w:rsid w:val="0091342B"/>
    <w:rsid w:val="009220E3"/>
    <w:rsid w:val="00927467"/>
    <w:rsid w:val="00934782"/>
    <w:rsid w:val="009419B9"/>
    <w:rsid w:val="0094226A"/>
    <w:rsid w:val="00944134"/>
    <w:rsid w:val="0095111E"/>
    <w:rsid w:val="0095412F"/>
    <w:rsid w:val="009556E6"/>
    <w:rsid w:val="00957626"/>
    <w:rsid w:val="00962F9F"/>
    <w:rsid w:val="00965F80"/>
    <w:rsid w:val="009762FC"/>
    <w:rsid w:val="009800E5"/>
    <w:rsid w:val="0098103C"/>
    <w:rsid w:val="00981748"/>
    <w:rsid w:val="00984FA9"/>
    <w:rsid w:val="00987A06"/>
    <w:rsid w:val="00991EEE"/>
    <w:rsid w:val="00995CA3"/>
    <w:rsid w:val="00995FC9"/>
    <w:rsid w:val="00996911"/>
    <w:rsid w:val="009A00F8"/>
    <w:rsid w:val="009A246C"/>
    <w:rsid w:val="009B2CA0"/>
    <w:rsid w:val="009B328D"/>
    <w:rsid w:val="009C10F6"/>
    <w:rsid w:val="009C1905"/>
    <w:rsid w:val="009C3143"/>
    <w:rsid w:val="009C3614"/>
    <w:rsid w:val="009D4666"/>
    <w:rsid w:val="009D4B5A"/>
    <w:rsid w:val="009D5451"/>
    <w:rsid w:val="009D56E5"/>
    <w:rsid w:val="009E36B0"/>
    <w:rsid w:val="009E36FD"/>
    <w:rsid w:val="009E52EC"/>
    <w:rsid w:val="009F133F"/>
    <w:rsid w:val="009F591A"/>
    <w:rsid w:val="00A0156D"/>
    <w:rsid w:val="00A02B38"/>
    <w:rsid w:val="00A04601"/>
    <w:rsid w:val="00A12AAC"/>
    <w:rsid w:val="00A20595"/>
    <w:rsid w:val="00A21197"/>
    <w:rsid w:val="00A264D1"/>
    <w:rsid w:val="00A414A2"/>
    <w:rsid w:val="00A50312"/>
    <w:rsid w:val="00A533A9"/>
    <w:rsid w:val="00A5609C"/>
    <w:rsid w:val="00A6212B"/>
    <w:rsid w:val="00A66DF3"/>
    <w:rsid w:val="00A67F39"/>
    <w:rsid w:val="00A70E94"/>
    <w:rsid w:val="00A73BF2"/>
    <w:rsid w:val="00A933EF"/>
    <w:rsid w:val="00A9627F"/>
    <w:rsid w:val="00A97349"/>
    <w:rsid w:val="00AA0A1E"/>
    <w:rsid w:val="00AA0CCE"/>
    <w:rsid w:val="00AA3104"/>
    <w:rsid w:val="00AA3B4B"/>
    <w:rsid w:val="00AA47A6"/>
    <w:rsid w:val="00AA53F0"/>
    <w:rsid w:val="00AB1346"/>
    <w:rsid w:val="00AB230B"/>
    <w:rsid w:val="00AB49B5"/>
    <w:rsid w:val="00AC2640"/>
    <w:rsid w:val="00AC3BC6"/>
    <w:rsid w:val="00AD03CC"/>
    <w:rsid w:val="00AD1588"/>
    <w:rsid w:val="00AD465E"/>
    <w:rsid w:val="00AD4A74"/>
    <w:rsid w:val="00AE34A3"/>
    <w:rsid w:val="00AE3769"/>
    <w:rsid w:val="00AE71C6"/>
    <w:rsid w:val="00AF27FD"/>
    <w:rsid w:val="00AF2F7F"/>
    <w:rsid w:val="00AF6057"/>
    <w:rsid w:val="00AF6D7F"/>
    <w:rsid w:val="00B0054F"/>
    <w:rsid w:val="00B0393E"/>
    <w:rsid w:val="00B1330B"/>
    <w:rsid w:val="00B1762E"/>
    <w:rsid w:val="00B23D1F"/>
    <w:rsid w:val="00B32F46"/>
    <w:rsid w:val="00B337E3"/>
    <w:rsid w:val="00B36E3F"/>
    <w:rsid w:val="00B41C82"/>
    <w:rsid w:val="00B52003"/>
    <w:rsid w:val="00B52EF5"/>
    <w:rsid w:val="00B57362"/>
    <w:rsid w:val="00B57F02"/>
    <w:rsid w:val="00B613DB"/>
    <w:rsid w:val="00B621AB"/>
    <w:rsid w:val="00B710B1"/>
    <w:rsid w:val="00B733C0"/>
    <w:rsid w:val="00B7358D"/>
    <w:rsid w:val="00B7419B"/>
    <w:rsid w:val="00B76F53"/>
    <w:rsid w:val="00B822CD"/>
    <w:rsid w:val="00B83960"/>
    <w:rsid w:val="00B8423F"/>
    <w:rsid w:val="00B84E1B"/>
    <w:rsid w:val="00B84E6C"/>
    <w:rsid w:val="00B92E9A"/>
    <w:rsid w:val="00B95C88"/>
    <w:rsid w:val="00BA08B9"/>
    <w:rsid w:val="00BB1314"/>
    <w:rsid w:val="00BB1732"/>
    <w:rsid w:val="00BB28E4"/>
    <w:rsid w:val="00BB3F47"/>
    <w:rsid w:val="00BB5831"/>
    <w:rsid w:val="00BC3EE8"/>
    <w:rsid w:val="00BD1121"/>
    <w:rsid w:val="00BD1C1A"/>
    <w:rsid w:val="00BE3099"/>
    <w:rsid w:val="00BE4FED"/>
    <w:rsid w:val="00BF5C28"/>
    <w:rsid w:val="00C00865"/>
    <w:rsid w:val="00C04005"/>
    <w:rsid w:val="00C06806"/>
    <w:rsid w:val="00C0701F"/>
    <w:rsid w:val="00C11E4C"/>
    <w:rsid w:val="00C12B18"/>
    <w:rsid w:val="00C21F7E"/>
    <w:rsid w:val="00C26E58"/>
    <w:rsid w:val="00C31E5A"/>
    <w:rsid w:val="00C34F6A"/>
    <w:rsid w:val="00C41139"/>
    <w:rsid w:val="00C423F8"/>
    <w:rsid w:val="00C432B5"/>
    <w:rsid w:val="00C43C9E"/>
    <w:rsid w:val="00C4735B"/>
    <w:rsid w:val="00C5310B"/>
    <w:rsid w:val="00C5767D"/>
    <w:rsid w:val="00C65329"/>
    <w:rsid w:val="00C71104"/>
    <w:rsid w:val="00C74D2A"/>
    <w:rsid w:val="00C753B3"/>
    <w:rsid w:val="00C84BA9"/>
    <w:rsid w:val="00C901E7"/>
    <w:rsid w:val="00C91DCE"/>
    <w:rsid w:val="00C922D8"/>
    <w:rsid w:val="00C93C37"/>
    <w:rsid w:val="00CA38E5"/>
    <w:rsid w:val="00CB0311"/>
    <w:rsid w:val="00CC1437"/>
    <w:rsid w:val="00CC58B9"/>
    <w:rsid w:val="00CC6530"/>
    <w:rsid w:val="00CD19AC"/>
    <w:rsid w:val="00CD4459"/>
    <w:rsid w:val="00CD6304"/>
    <w:rsid w:val="00CE0154"/>
    <w:rsid w:val="00CE5F19"/>
    <w:rsid w:val="00CF124B"/>
    <w:rsid w:val="00CF1F26"/>
    <w:rsid w:val="00CF480E"/>
    <w:rsid w:val="00D00B3F"/>
    <w:rsid w:val="00D026CC"/>
    <w:rsid w:val="00D11EAB"/>
    <w:rsid w:val="00D205C2"/>
    <w:rsid w:val="00D209AF"/>
    <w:rsid w:val="00D2358D"/>
    <w:rsid w:val="00D30A28"/>
    <w:rsid w:val="00D352BE"/>
    <w:rsid w:val="00D40ED9"/>
    <w:rsid w:val="00D4351B"/>
    <w:rsid w:val="00D43892"/>
    <w:rsid w:val="00D43C64"/>
    <w:rsid w:val="00D45BFF"/>
    <w:rsid w:val="00D51787"/>
    <w:rsid w:val="00D517F9"/>
    <w:rsid w:val="00D63C39"/>
    <w:rsid w:val="00D70CE3"/>
    <w:rsid w:val="00D7623B"/>
    <w:rsid w:val="00D76350"/>
    <w:rsid w:val="00D76A17"/>
    <w:rsid w:val="00D907E0"/>
    <w:rsid w:val="00D90CD4"/>
    <w:rsid w:val="00D9147A"/>
    <w:rsid w:val="00D92A05"/>
    <w:rsid w:val="00D93CC9"/>
    <w:rsid w:val="00D96B3F"/>
    <w:rsid w:val="00DA130D"/>
    <w:rsid w:val="00DA6CD5"/>
    <w:rsid w:val="00DC26C7"/>
    <w:rsid w:val="00DC39EB"/>
    <w:rsid w:val="00DC6D60"/>
    <w:rsid w:val="00DD263C"/>
    <w:rsid w:val="00DD3322"/>
    <w:rsid w:val="00DE71C7"/>
    <w:rsid w:val="00E030B2"/>
    <w:rsid w:val="00E07E78"/>
    <w:rsid w:val="00E10B74"/>
    <w:rsid w:val="00E143C4"/>
    <w:rsid w:val="00E20DCF"/>
    <w:rsid w:val="00E21066"/>
    <w:rsid w:val="00E24172"/>
    <w:rsid w:val="00E25232"/>
    <w:rsid w:val="00E3357E"/>
    <w:rsid w:val="00E33AB1"/>
    <w:rsid w:val="00E37261"/>
    <w:rsid w:val="00E4094E"/>
    <w:rsid w:val="00E42F0C"/>
    <w:rsid w:val="00E46486"/>
    <w:rsid w:val="00E50C80"/>
    <w:rsid w:val="00E52F62"/>
    <w:rsid w:val="00E5357E"/>
    <w:rsid w:val="00E54C88"/>
    <w:rsid w:val="00E64494"/>
    <w:rsid w:val="00E65731"/>
    <w:rsid w:val="00E70BA3"/>
    <w:rsid w:val="00E7327C"/>
    <w:rsid w:val="00E744D9"/>
    <w:rsid w:val="00E8707B"/>
    <w:rsid w:val="00E87CA7"/>
    <w:rsid w:val="00E91272"/>
    <w:rsid w:val="00EA4097"/>
    <w:rsid w:val="00EA51C5"/>
    <w:rsid w:val="00EA525F"/>
    <w:rsid w:val="00EB4199"/>
    <w:rsid w:val="00EB5BF6"/>
    <w:rsid w:val="00EC0EF4"/>
    <w:rsid w:val="00EC10FB"/>
    <w:rsid w:val="00EC63BB"/>
    <w:rsid w:val="00ED36F1"/>
    <w:rsid w:val="00ED3A6A"/>
    <w:rsid w:val="00F026EA"/>
    <w:rsid w:val="00F02BFE"/>
    <w:rsid w:val="00F04EB8"/>
    <w:rsid w:val="00F11541"/>
    <w:rsid w:val="00F2120E"/>
    <w:rsid w:val="00F21781"/>
    <w:rsid w:val="00F24CDA"/>
    <w:rsid w:val="00F26940"/>
    <w:rsid w:val="00F27718"/>
    <w:rsid w:val="00F31F14"/>
    <w:rsid w:val="00F32D16"/>
    <w:rsid w:val="00F33AD7"/>
    <w:rsid w:val="00F40772"/>
    <w:rsid w:val="00F4484F"/>
    <w:rsid w:val="00F502BA"/>
    <w:rsid w:val="00F5141B"/>
    <w:rsid w:val="00F53261"/>
    <w:rsid w:val="00F7224D"/>
    <w:rsid w:val="00F7269A"/>
    <w:rsid w:val="00F7271E"/>
    <w:rsid w:val="00F72733"/>
    <w:rsid w:val="00F7610A"/>
    <w:rsid w:val="00F77748"/>
    <w:rsid w:val="00F802FB"/>
    <w:rsid w:val="00F823B6"/>
    <w:rsid w:val="00F8275A"/>
    <w:rsid w:val="00F84FE6"/>
    <w:rsid w:val="00F86745"/>
    <w:rsid w:val="00F92971"/>
    <w:rsid w:val="00F94477"/>
    <w:rsid w:val="00FA613D"/>
    <w:rsid w:val="00FC149E"/>
    <w:rsid w:val="00FC6364"/>
    <w:rsid w:val="00FD2D81"/>
    <w:rsid w:val="00FD6444"/>
    <w:rsid w:val="00FE5A90"/>
    <w:rsid w:val="00FE74E6"/>
    <w:rsid w:val="00FF718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toc 1" w:uiPriority="39"/>
    <w:lsdException w:name="caption" w:qFormat="1"/>
    <w:lsdException w:name="footnote reference" w:uiPriority="99"/>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114C"/>
    <w:pPr>
      <w:spacing w:line="360" w:lineRule="auto"/>
      <w:ind w:left="1276" w:hanging="556"/>
      <w:jc w:val="both"/>
    </w:pPr>
    <w:rPr>
      <w:rFonts w:ascii="Verdana" w:eastAsia="Times New Roman" w:hAnsi="Verdana" w:cs="Verdana"/>
      <w:lang w:eastAsia="en-US"/>
    </w:rPr>
  </w:style>
  <w:style w:type="paragraph" w:styleId="Nagwek1">
    <w:name w:val="heading 1"/>
    <w:basedOn w:val="Normalny"/>
    <w:next w:val="Normalny"/>
    <w:link w:val="Nagwek1Znak"/>
    <w:uiPriority w:val="99"/>
    <w:qFormat/>
    <w:rsid w:val="0091114C"/>
    <w:pPr>
      <w:keepNext/>
      <w:numPr>
        <w:numId w:val="1"/>
      </w:numPr>
      <w:pBdr>
        <w:top w:val="single" w:sz="12" w:space="1" w:color="003366"/>
      </w:pBdr>
      <w:overflowPunct w:val="0"/>
      <w:autoSpaceDE w:val="0"/>
      <w:autoSpaceDN w:val="0"/>
      <w:adjustRightInd w:val="0"/>
      <w:spacing w:before="240" w:after="60" w:line="300" w:lineRule="atLeast"/>
      <w:textAlignment w:val="baseline"/>
      <w:outlineLvl w:val="0"/>
    </w:pPr>
    <w:rPr>
      <w:rFonts w:cs="Times New Roman"/>
      <w:color w:val="003366"/>
      <w:kern w:val="28"/>
      <w:sz w:val="32"/>
      <w:szCs w:val="32"/>
      <w:lang w:val="en-US"/>
    </w:rPr>
  </w:style>
  <w:style w:type="paragraph" w:styleId="Nagwek2">
    <w:name w:val="heading 2"/>
    <w:basedOn w:val="Normalny"/>
    <w:next w:val="Normalny"/>
    <w:link w:val="Nagwek2Znak"/>
    <w:uiPriority w:val="99"/>
    <w:qFormat/>
    <w:rsid w:val="0091114C"/>
    <w:pPr>
      <w:keepNext/>
      <w:keepLines/>
      <w:numPr>
        <w:ilvl w:val="1"/>
        <w:numId w:val="1"/>
      </w:numPr>
      <w:pBdr>
        <w:top w:val="single" w:sz="4" w:space="1" w:color="003366"/>
      </w:pBdr>
      <w:overflowPunct w:val="0"/>
      <w:autoSpaceDE w:val="0"/>
      <w:autoSpaceDN w:val="0"/>
      <w:adjustRightInd w:val="0"/>
      <w:spacing w:before="240" w:after="60" w:line="300" w:lineRule="atLeast"/>
      <w:textAlignment w:val="baseline"/>
      <w:outlineLvl w:val="1"/>
    </w:pPr>
    <w:rPr>
      <w:rFonts w:cs="Times New Roman"/>
      <w:color w:val="003366"/>
      <w:sz w:val="24"/>
      <w:szCs w:val="24"/>
      <w:lang w:val="en-US"/>
    </w:rPr>
  </w:style>
  <w:style w:type="paragraph" w:styleId="Nagwek3">
    <w:name w:val="heading 3"/>
    <w:basedOn w:val="Normalny"/>
    <w:next w:val="Normalny"/>
    <w:link w:val="Nagwek3Znak"/>
    <w:uiPriority w:val="99"/>
    <w:qFormat/>
    <w:rsid w:val="0091114C"/>
    <w:pPr>
      <w:keepNext/>
      <w:numPr>
        <w:ilvl w:val="2"/>
        <w:numId w:val="1"/>
      </w:numPr>
      <w:overflowPunct w:val="0"/>
      <w:autoSpaceDE w:val="0"/>
      <w:autoSpaceDN w:val="0"/>
      <w:adjustRightInd w:val="0"/>
      <w:spacing w:before="240" w:after="60" w:line="300" w:lineRule="atLeast"/>
      <w:textAlignment w:val="baseline"/>
      <w:outlineLvl w:val="2"/>
    </w:pPr>
    <w:rPr>
      <w:rFonts w:cs="Times New Roman"/>
      <w:color w:val="003366"/>
      <w:sz w:val="24"/>
      <w:szCs w:val="24"/>
      <w:lang w:val="en-US"/>
    </w:rPr>
  </w:style>
  <w:style w:type="paragraph" w:styleId="Nagwek4">
    <w:name w:val="heading 4"/>
    <w:basedOn w:val="Normalny"/>
    <w:next w:val="Normalny"/>
    <w:link w:val="Nagwek4Znak"/>
    <w:uiPriority w:val="99"/>
    <w:qFormat/>
    <w:rsid w:val="0091114C"/>
    <w:pPr>
      <w:keepNext/>
      <w:numPr>
        <w:ilvl w:val="3"/>
        <w:numId w:val="1"/>
      </w:numPr>
      <w:tabs>
        <w:tab w:val="left" w:pos="1560"/>
      </w:tabs>
      <w:spacing w:before="240" w:after="60" w:line="300" w:lineRule="atLeast"/>
      <w:outlineLvl w:val="3"/>
    </w:pPr>
    <w:rPr>
      <w:rFonts w:cs="Times New Roman"/>
      <w:bCs/>
      <w:color w:val="003366"/>
      <w:sz w:val="22"/>
      <w:szCs w:val="28"/>
    </w:rPr>
  </w:style>
  <w:style w:type="paragraph" w:styleId="Nagwek5">
    <w:name w:val="heading 5"/>
    <w:basedOn w:val="Normalny"/>
    <w:next w:val="Normalny"/>
    <w:link w:val="Nagwek5Znak"/>
    <w:uiPriority w:val="99"/>
    <w:qFormat/>
    <w:rsid w:val="0091114C"/>
    <w:pPr>
      <w:keepNext/>
      <w:numPr>
        <w:ilvl w:val="4"/>
        <w:numId w:val="1"/>
      </w:numPr>
      <w:tabs>
        <w:tab w:val="clear" w:pos="1008"/>
        <w:tab w:val="num" w:pos="2127"/>
      </w:tabs>
      <w:overflowPunct w:val="0"/>
      <w:autoSpaceDE w:val="0"/>
      <w:autoSpaceDN w:val="0"/>
      <w:adjustRightInd w:val="0"/>
      <w:spacing w:before="20" w:after="20"/>
      <w:ind w:left="2127" w:hanging="993"/>
      <w:textAlignment w:val="baseline"/>
      <w:outlineLvl w:val="4"/>
    </w:pPr>
    <w:rPr>
      <w:rFonts w:cs="Times New Roman"/>
      <w:iCs/>
      <w:color w:val="003366"/>
    </w:rPr>
  </w:style>
  <w:style w:type="paragraph" w:styleId="Nagwek6">
    <w:name w:val="heading 6"/>
    <w:basedOn w:val="Normalny"/>
    <w:next w:val="Normalny"/>
    <w:link w:val="Nagwek6Znak"/>
    <w:uiPriority w:val="99"/>
    <w:qFormat/>
    <w:rsid w:val="0091114C"/>
    <w:pPr>
      <w:numPr>
        <w:ilvl w:val="5"/>
        <w:numId w:val="1"/>
      </w:numPr>
      <w:overflowPunct w:val="0"/>
      <w:autoSpaceDE w:val="0"/>
      <w:autoSpaceDN w:val="0"/>
      <w:adjustRightInd w:val="0"/>
      <w:spacing w:before="240" w:after="60" w:line="300" w:lineRule="atLeast"/>
      <w:textAlignment w:val="baseline"/>
      <w:outlineLvl w:val="5"/>
    </w:pPr>
    <w:rPr>
      <w:rFonts w:cs="Times New Roman"/>
      <w:i/>
      <w:iCs/>
      <w:sz w:val="22"/>
      <w:szCs w:val="22"/>
      <w:lang w:val="en-US"/>
    </w:rPr>
  </w:style>
  <w:style w:type="paragraph" w:styleId="Nagwek7">
    <w:name w:val="heading 7"/>
    <w:basedOn w:val="Normalny"/>
    <w:next w:val="Normalny"/>
    <w:link w:val="Nagwek7Znak"/>
    <w:uiPriority w:val="99"/>
    <w:qFormat/>
    <w:rsid w:val="0091114C"/>
    <w:pPr>
      <w:numPr>
        <w:ilvl w:val="6"/>
        <w:numId w:val="1"/>
      </w:numPr>
      <w:overflowPunct w:val="0"/>
      <w:autoSpaceDE w:val="0"/>
      <w:autoSpaceDN w:val="0"/>
      <w:adjustRightInd w:val="0"/>
      <w:spacing w:before="240" w:after="60" w:line="300" w:lineRule="atLeast"/>
      <w:textAlignment w:val="baseline"/>
      <w:outlineLvl w:val="6"/>
    </w:pPr>
    <w:rPr>
      <w:rFonts w:ascii="Arial" w:hAnsi="Arial" w:cs="Times New Roman"/>
      <w:lang w:val="en-US"/>
    </w:rPr>
  </w:style>
  <w:style w:type="paragraph" w:styleId="Nagwek8">
    <w:name w:val="heading 8"/>
    <w:basedOn w:val="Normalny"/>
    <w:next w:val="Normalny"/>
    <w:link w:val="Nagwek8Znak"/>
    <w:uiPriority w:val="99"/>
    <w:qFormat/>
    <w:rsid w:val="0091114C"/>
    <w:pPr>
      <w:numPr>
        <w:ilvl w:val="7"/>
        <w:numId w:val="1"/>
      </w:numPr>
      <w:overflowPunct w:val="0"/>
      <w:autoSpaceDE w:val="0"/>
      <w:autoSpaceDN w:val="0"/>
      <w:adjustRightInd w:val="0"/>
      <w:spacing w:before="240" w:after="60" w:line="300" w:lineRule="atLeast"/>
      <w:textAlignment w:val="baseline"/>
      <w:outlineLvl w:val="7"/>
    </w:pPr>
    <w:rPr>
      <w:rFonts w:ascii="Arial" w:hAnsi="Arial" w:cs="Times New Roman"/>
      <w:i/>
      <w:iCs/>
      <w:lang w:val="en-US"/>
    </w:rPr>
  </w:style>
  <w:style w:type="paragraph" w:styleId="Nagwek9">
    <w:name w:val="heading 9"/>
    <w:basedOn w:val="Normalny"/>
    <w:next w:val="Normalny"/>
    <w:link w:val="Nagwek9Znak"/>
    <w:uiPriority w:val="99"/>
    <w:qFormat/>
    <w:rsid w:val="0091114C"/>
    <w:pPr>
      <w:numPr>
        <w:ilvl w:val="8"/>
        <w:numId w:val="1"/>
      </w:numPr>
      <w:overflowPunct w:val="0"/>
      <w:autoSpaceDE w:val="0"/>
      <w:autoSpaceDN w:val="0"/>
      <w:adjustRightInd w:val="0"/>
      <w:spacing w:before="240" w:after="60" w:line="300" w:lineRule="atLeast"/>
      <w:textAlignment w:val="baseline"/>
      <w:outlineLvl w:val="8"/>
    </w:pPr>
    <w:rPr>
      <w:rFonts w:ascii="Arial" w:hAnsi="Arial" w:cs="Times New Roman"/>
      <w:b/>
      <w:bCs/>
      <w:i/>
      <w:iCs/>
      <w:sz w:val="18"/>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91114C"/>
    <w:rPr>
      <w:rFonts w:ascii="Verdana" w:eastAsia="Times New Roman" w:hAnsi="Verdana" w:cs="Verdana"/>
      <w:color w:val="003366"/>
      <w:kern w:val="28"/>
      <w:sz w:val="32"/>
      <w:szCs w:val="32"/>
      <w:lang w:val="en-US" w:eastAsia="en-US"/>
    </w:rPr>
  </w:style>
  <w:style w:type="character" w:customStyle="1" w:styleId="Nagwek2Znak">
    <w:name w:val="Nagłówek 2 Znak"/>
    <w:link w:val="Nagwek2"/>
    <w:uiPriority w:val="99"/>
    <w:rsid w:val="0091114C"/>
    <w:rPr>
      <w:rFonts w:ascii="Verdana" w:eastAsia="Times New Roman" w:hAnsi="Verdana" w:cs="Verdana"/>
      <w:color w:val="003366"/>
      <w:sz w:val="24"/>
      <w:szCs w:val="24"/>
      <w:lang w:val="en-US" w:eastAsia="en-US"/>
    </w:rPr>
  </w:style>
  <w:style w:type="character" w:customStyle="1" w:styleId="Nagwek3Znak">
    <w:name w:val="Nagłówek 3 Znak"/>
    <w:link w:val="Nagwek3"/>
    <w:uiPriority w:val="99"/>
    <w:rsid w:val="0091114C"/>
    <w:rPr>
      <w:rFonts w:ascii="Verdana" w:eastAsia="Times New Roman" w:hAnsi="Verdana" w:cs="Verdana"/>
      <w:color w:val="003366"/>
      <w:sz w:val="24"/>
      <w:szCs w:val="24"/>
      <w:lang w:val="en-US" w:eastAsia="en-US"/>
    </w:rPr>
  </w:style>
  <w:style w:type="character" w:customStyle="1" w:styleId="Nagwek4Znak">
    <w:name w:val="Nagłówek 4 Znak"/>
    <w:link w:val="Nagwek4"/>
    <w:uiPriority w:val="99"/>
    <w:rsid w:val="0091114C"/>
    <w:rPr>
      <w:rFonts w:ascii="Verdana" w:eastAsia="Times New Roman" w:hAnsi="Verdana" w:cs="Verdana"/>
      <w:bCs/>
      <w:color w:val="003366"/>
      <w:sz w:val="22"/>
      <w:szCs w:val="28"/>
    </w:rPr>
  </w:style>
  <w:style w:type="character" w:customStyle="1" w:styleId="Nagwek5Znak">
    <w:name w:val="Nagłówek 5 Znak"/>
    <w:link w:val="Nagwek5"/>
    <w:uiPriority w:val="99"/>
    <w:rsid w:val="0091114C"/>
    <w:rPr>
      <w:rFonts w:ascii="Verdana" w:eastAsia="Times New Roman" w:hAnsi="Verdana" w:cs="Arial"/>
      <w:iCs/>
      <w:color w:val="003366"/>
      <w:lang w:eastAsia="en-US"/>
    </w:rPr>
  </w:style>
  <w:style w:type="character" w:customStyle="1" w:styleId="Nagwek6Znak">
    <w:name w:val="Nagłówek 6 Znak"/>
    <w:link w:val="Nagwek6"/>
    <w:uiPriority w:val="99"/>
    <w:rsid w:val="0091114C"/>
    <w:rPr>
      <w:rFonts w:ascii="Verdana" w:eastAsia="Times New Roman" w:hAnsi="Verdana" w:cs="Verdana"/>
      <w:i/>
      <w:iCs/>
      <w:sz w:val="22"/>
      <w:szCs w:val="22"/>
      <w:lang w:val="en-US" w:eastAsia="en-US"/>
    </w:rPr>
  </w:style>
  <w:style w:type="character" w:customStyle="1" w:styleId="Nagwek7Znak">
    <w:name w:val="Nagłówek 7 Znak"/>
    <w:link w:val="Nagwek7"/>
    <w:uiPriority w:val="99"/>
    <w:rsid w:val="0091114C"/>
    <w:rPr>
      <w:rFonts w:ascii="Arial" w:eastAsia="Times New Roman" w:hAnsi="Arial" w:cs="Arial"/>
      <w:lang w:val="en-US" w:eastAsia="en-US"/>
    </w:rPr>
  </w:style>
  <w:style w:type="character" w:customStyle="1" w:styleId="Nagwek8Znak">
    <w:name w:val="Nagłówek 8 Znak"/>
    <w:link w:val="Nagwek8"/>
    <w:uiPriority w:val="99"/>
    <w:rsid w:val="0091114C"/>
    <w:rPr>
      <w:rFonts w:ascii="Arial" w:eastAsia="Times New Roman" w:hAnsi="Arial" w:cs="Arial"/>
      <w:i/>
      <w:iCs/>
      <w:lang w:val="en-US" w:eastAsia="en-US"/>
    </w:rPr>
  </w:style>
  <w:style w:type="character" w:customStyle="1" w:styleId="Nagwek9Znak">
    <w:name w:val="Nagłówek 9 Znak"/>
    <w:link w:val="Nagwek9"/>
    <w:uiPriority w:val="99"/>
    <w:rsid w:val="0091114C"/>
    <w:rPr>
      <w:rFonts w:ascii="Arial" w:eastAsia="Times New Roman" w:hAnsi="Arial" w:cs="Arial"/>
      <w:b/>
      <w:bCs/>
      <w:i/>
      <w:iCs/>
      <w:sz w:val="18"/>
      <w:szCs w:val="18"/>
      <w:lang w:val="en-US" w:eastAsia="en-US"/>
    </w:rPr>
  </w:style>
  <w:style w:type="character" w:styleId="Hipercze">
    <w:name w:val="Hyperlink"/>
    <w:uiPriority w:val="99"/>
    <w:rsid w:val="0091114C"/>
    <w:rPr>
      <w:rFonts w:cs="Times New Roman"/>
      <w:color w:val="0000FF"/>
      <w:u w:val="single"/>
    </w:rPr>
  </w:style>
  <w:style w:type="paragraph" w:customStyle="1" w:styleId="Kolorowalistaakcent11">
    <w:name w:val="Kolorowa lista — akcent 11"/>
    <w:basedOn w:val="Normalny"/>
    <w:qFormat/>
    <w:rsid w:val="0091114C"/>
    <w:pPr>
      <w:ind w:left="708"/>
    </w:pPr>
  </w:style>
  <w:style w:type="paragraph" w:styleId="Tekstprzypisudolnego">
    <w:name w:val="footnote text"/>
    <w:basedOn w:val="Normalny"/>
    <w:link w:val="TekstprzypisudolnegoZnak"/>
    <w:rsid w:val="0091114C"/>
    <w:pPr>
      <w:spacing w:line="240" w:lineRule="auto"/>
      <w:ind w:left="0" w:firstLine="0"/>
      <w:jc w:val="left"/>
    </w:pPr>
    <w:rPr>
      <w:rFonts w:ascii="Times New Roman" w:hAnsi="Times New Roman" w:cs="Times New Roman"/>
      <w:lang w:eastAsia="pl-PL"/>
    </w:rPr>
  </w:style>
  <w:style w:type="character" w:customStyle="1" w:styleId="TekstprzypisudolnegoZnak">
    <w:name w:val="Tekst przypisu dolnego Znak"/>
    <w:link w:val="Tekstprzypisudolnego"/>
    <w:rsid w:val="0091114C"/>
    <w:rPr>
      <w:rFonts w:ascii="Times New Roman" w:eastAsia="Times New Roman" w:hAnsi="Times New Roman" w:cs="Times New Roman"/>
      <w:sz w:val="20"/>
      <w:szCs w:val="20"/>
      <w:lang w:eastAsia="pl-PL"/>
    </w:rPr>
  </w:style>
  <w:style w:type="character" w:customStyle="1" w:styleId="Znakiprzypiswdolnych">
    <w:name w:val="Znaki przypisów dolnych"/>
    <w:rsid w:val="0091114C"/>
    <w:rPr>
      <w:rFonts w:cs="Times New Roman"/>
      <w:vertAlign w:val="superscript"/>
    </w:rPr>
  </w:style>
  <w:style w:type="paragraph" w:customStyle="1" w:styleId="Akapitzlist2">
    <w:name w:val="Akapit z listą2"/>
    <w:basedOn w:val="Normalny"/>
    <w:uiPriority w:val="34"/>
    <w:qFormat/>
    <w:rsid w:val="0091114C"/>
    <w:pPr>
      <w:ind w:left="708"/>
    </w:pPr>
  </w:style>
  <w:style w:type="paragraph" w:styleId="Tekstdymka">
    <w:name w:val="Balloon Text"/>
    <w:basedOn w:val="Normalny"/>
    <w:link w:val="TekstdymkaZnak"/>
    <w:uiPriority w:val="99"/>
    <w:semiHidden/>
    <w:unhideWhenUsed/>
    <w:rsid w:val="0091114C"/>
    <w:pPr>
      <w:spacing w:line="240" w:lineRule="auto"/>
    </w:pPr>
    <w:rPr>
      <w:rFonts w:ascii="Tahoma" w:hAnsi="Tahoma" w:cs="Times New Roman"/>
      <w:sz w:val="16"/>
      <w:szCs w:val="16"/>
    </w:rPr>
  </w:style>
  <w:style w:type="character" w:customStyle="1" w:styleId="TekstdymkaZnak">
    <w:name w:val="Tekst dymka Znak"/>
    <w:link w:val="Tekstdymka"/>
    <w:uiPriority w:val="99"/>
    <w:semiHidden/>
    <w:rsid w:val="0091114C"/>
    <w:rPr>
      <w:rFonts w:ascii="Tahoma" w:eastAsia="Times New Roman" w:hAnsi="Tahoma" w:cs="Tahoma"/>
      <w:sz w:val="16"/>
      <w:szCs w:val="16"/>
    </w:rPr>
  </w:style>
  <w:style w:type="paragraph" w:styleId="Nagwek">
    <w:name w:val="header"/>
    <w:basedOn w:val="Normalny"/>
    <w:link w:val="NagwekZnak"/>
    <w:unhideWhenUsed/>
    <w:rsid w:val="0091114C"/>
    <w:pPr>
      <w:tabs>
        <w:tab w:val="center" w:pos="4536"/>
        <w:tab w:val="right" w:pos="9072"/>
      </w:tabs>
      <w:spacing w:line="240" w:lineRule="auto"/>
    </w:pPr>
    <w:rPr>
      <w:rFonts w:cs="Times New Roman"/>
    </w:rPr>
  </w:style>
  <w:style w:type="character" w:customStyle="1" w:styleId="NagwekZnak">
    <w:name w:val="Nagłówek Znak"/>
    <w:link w:val="Nagwek"/>
    <w:rsid w:val="0091114C"/>
    <w:rPr>
      <w:rFonts w:ascii="Verdana" w:eastAsia="Times New Roman" w:hAnsi="Verdana" w:cs="Verdana"/>
      <w:sz w:val="20"/>
      <w:szCs w:val="20"/>
    </w:rPr>
  </w:style>
  <w:style w:type="paragraph" w:styleId="Stopka">
    <w:name w:val="footer"/>
    <w:basedOn w:val="Normalny"/>
    <w:link w:val="StopkaZnak"/>
    <w:uiPriority w:val="99"/>
    <w:unhideWhenUsed/>
    <w:rsid w:val="0091114C"/>
    <w:pPr>
      <w:tabs>
        <w:tab w:val="center" w:pos="4536"/>
        <w:tab w:val="right" w:pos="9072"/>
      </w:tabs>
      <w:spacing w:line="240" w:lineRule="auto"/>
    </w:pPr>
    <w:rPr>
      <w:rFonts w:cs="Times New Roman"/>
    </w:rPr>
  </w:style>
  <w:style w:type="character" w:customStyle="1" w:styleId="StopkaZnak">
    <w:name w:val="Stopka Znak"/>
    <w:link w:val="Stopka"/>
    <w:uiPriority w:val="99"/>
    <w:rsid w:val="0091114C"/>
    <w:rPr>
      <w:rFonts w:ascii="Verdana" w:eastAsia="Times New Roman" w:hAnsi="Verdana" w:cs="Verdana"/>
      <w:sz w:val="20"/>
      <w:szCs w:val="20"/>
    </w:rPr>
  </w:style>
  <w:style w:type="character" w:styleId="Numerstrony">
    <w:name w:val="page number"/>
    <w:uiPriority w:val="99"/>
    <w:rsid w:val="0091114C"/>
    <w:rPr>
      <w:rFonts w:cs="Times New Roman"/>
    </w:rPr>
  </w:style>
  <w:style w:type="paragraph" w:styleId="Tytu">
    <w:name w:val="Title"/>
    <w:basedOn w:val="Normalny"/>
    <w:next w:val="Normalny"/>
    <w:link w:val="TytuZnak"/>
    <w:uiPriority w:val="10"/>
    <w:qFormat/>
    <w:rsid w:val="0091114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ytuZnak">
    <w:name w:val="Tytuł Znak"/>
    <w:link w:val="Tytu"/>
    <w:uiPriority w:val="10"/>
    <w:rsid w:val="0091114C"/>
    <w:rPr>
      <w:rFonts w:ascii="Cambria" w:eastAsia="Times New Roman" w:hAnsi="Cambria" w:cs="Times New Roman"/>
      <w:color w:val="17365D"/>
      <w:spacing w:val="5"/>
      <w:kern w:val="28"/>
      <w:sz w:val="52"/>
      <w:szCs w:val="52"/>
    </w:rPr>
  </w:style>
  <w:style w:type="character" w:styleId="Odwoanieprzypisudolnego">
    <w:name w:val="footnote reference"/>
    <w:uiPriority w:val="99"/>
    <w:semiHidden/>
    <w:unhideWhenUsed/>
    <w:rsid w:val="00F7610A"/>
    <w:rPr>
      <w:vertAlign w:val="superscript"/>
    </w:rPr>
  </w:style>
  <w:style w:type="paragraph" w:customStyle="1" w:styleId="TAL">
    <w:name w:val="TAL"/>
    <w:basedOn w:val="Normalny"/>
    <w:rsid w:val="003533CC"/>
    <w:pPr>
      <w:keepNext/>
      <w:keepLines/>
      <w:overflowPunct w:val="0"/>
      <w:autoSpaceDE w:val="0"/>
      <w:autoSpaceDN w:val="0"/>
      <w:adjustRightInd w:val="0"/>
      <w:spacing w:line="240" w:lineRule="auto"/>
      <w:ind w:left="0" w:firstLine="0"/>
      <w:jc w:val="left"/>
    </w:pPr>
    <w:rPr>
      <w:rFonts w:ascii="Arial" w:hAnsi="Arial" w:cs="Times New Roman"/>
      <w:sz w:val="18"/>
      <w:lang w:val="en-GB"/>
    </w:rPr>
  </w:style>
  <w:style w:type="paragraph" w:customStyle="1" w:styleId="Kolorowecieniowanieakcent11">
    <w:name w:val="Kolorowe cieniowanie — akcent 11"/>
    <w:hidden/>
    <w:uiPriority w:val="99"/>
    <w:semiHidden/>
    <w:rsid w:val="00282C7B"/>
    <w:rPr>
      <w:rFonts w:ascii="Verdana" w:eastAsia="Times New Roman" w:hAnsi="Verdana" w:cs="Verdana"/>
      <w:lang w:eastAsia="en-US"/>
    </w:rPr>
  </w:style>
  <w:style w:type="paragraph" w:styleId="Mapadokumentu">
    <w:name w:val="Document Map"/>
    <w:basedOn w:val="Normalny"/>
    <w:link w:val="MapadokumentuZnak"/>
    <w:uiPriority w:val="99"/>
    <w:semiHidden/>
    <w:unhideWhenUsed/>
    <w:rsid w:val="00282C7B"/>
    <w:rPr>
      <w:rFonts w:ascii="Tahoma" w:hAnsi="Tahoma" w:cs="Times New Roman"/>
      <w:sz w:val="16"/>
      <w:szCs w:val="16"/>
    </w:rPr>
  </w:style>
  <w:style w:type="character" w:customStyle="1" w:styleId="MapadokumentuZnak">
    <w:name w:val="Mapa dokumentu Znak"/>
    <w:link w:val="Mapadokumentu"/>
    <w:uiPriority w:val="99"/>
    <w:semiHidden/>
    <w:rsid w:val="00282C7B"/>
    <w:rPr>
      <w:rFonts w:ascii="Tahoma" w:eastAsia="Times New Roman" w:hAnsi="Tahoma" w:cs="Tahoma"/>
      <w:sz w:val="16"/>
      <w:szCs w:val="16"/>
      <w:lang w:eastAsia="en-US"/>
    </w:rPr>
  </w:style>
  <w:style w:type="paragraph" w:customStyle="1" w:styleId="PrzykladXML">
    <w:name w:val="PrzykladXML"/>
    <w:basedOn w:val="Normalny"/>
    <w:link w:val="PrzykladXMLZnak"/>
    <w:qFormat/>
    <w:rsid w:val="00984FA9"/>
    <w:pPr>
      <w:spacing w:line="240" w:lineRule="auto"/>
      <w:ind w:left="11" w:hanging="11"/>
    </w:pPr>
    <w:rPr>
      <w:rFonts w:ascii="Arial" w:hAnsi="Arial" w:cs="Times New Roman"/>
      <w:sz w:val="16"/>
      <w:szCs w:val="16"/>
      <w:lang w:val="en-US"/>
    </w:rPr>
  </w:style>
  <w:style w:type="character" w:styleId="UyteHipercze">
    <w:name w:val="FollowedHyperlink"/>
    <w:uiPriority w:val="99"/>
    <w:rsid w:val="006106FF"/>
    <w:rPr>
      <w:rFonts w:cs="Times New Roman"/>
      <w:color w:val="800080"/>
      <w:u w:val="single"/>
    </w:rPr>
  </w:style>
  <w:style w:type="character" w:customStyle="1" w:styleId="PrzykladXMLZnak">
    <w:name w:val="PrzykladXML Znak"/>
    <w:link w:val="PrzykladXML"/>
    <w:rsid w:val="00984FA9"/>
    <w:rPr>
      <w:rFonts w:ascii="Arial" w:eastAsia="Times New Roman" w:hAnsi="Arial" w:cs="Arial"/>
      <w:sz w:val="16"/>
      <w:szCs w:val="16"/>
      <w:lang w:val="en-US" w:eastAsia="en-US"/>
    </w:rPr>
  </w:style>
  <w:style w:type="paragraph" w:styleId="NormalnyWeb">
    <w:name w:val="Normal (Web)"/>
    <w:basedOn w:val="Normalny"/>
    <w:uiPriority w:val="99"/>
    <w:semiHidden/>
    <w:unhideWhenUsed/>
    <w:rsid w:val="002C71D0"/>
    <w:pPr>
      <w:spacing w:line="240" w:lineRule="auto"/>
      <w:ind w:left="0" w:firstLine="0"/>
      <w:jc w:val="left"/>
    </w:pPr>
    <w:rPr>
      <w:rFonts w:ascii="Times New Roman" w:hAnsi="Times New Roman" w:cs="Times New Roman"/>
      <w:color w:val="000000"/>
      <w:sz w:val="24"/>
      <w:szCs w:val="24"/>
      <w:lang w:eastAsia="pl-PL"/>
    </w:rPr>
  </w:style>
  <w:style w:type="paragraph" w:styleId="Nagwekspisutreci">
    <w:name w:val="TOC Heading"/>
    <w:basedOn w:val="Nagwek1"/>
    <w:next w:val="Normalny"/>
    <w:uiPriority w:val="39"/>
    <w:qFormat/>
    <w:rsid w:val="00C74D2A"/>
    <w:pPr>
      <w:keepLines/>
      <w:numPr>
        <w:numId w:val="0"/>
      </w:numPr>
      <w:pBdr>
        <w:top w:val="none" w:sz="0" w:space="0" w:color="auto"/>
      </w:pBdr>
      <w:overflowPunct/>
      <w:autoSpaceDE/>
      <w:autoSpaceDN/>
      <w:adjustRightInd/>
      <w:spacing w:before="480" w:after="0" w:line="276" w:lineRule="auto"/>
      <w:jc w:val="left"/>
      <w:textAlignment w:val="auto"/>
      <w:outlineLvl w:val="9"/>
    </w:pPr>
    <w:rPr>
      <w:rFonts w:ascii="Cambria" w:hAnsi="Cambria"/>
      <w:b/>
      <w:bCs/>
      <w:color w:val="365F91"/>
      <w:kern w:val="0"/>
      <w:sz w:val="28"/>
      <w:szCs w:val="28"/>
      <w:lang w:val="pl-PL" w:eastAsia="pl-PL"/>
    </w:rPr>
  </w:style>
  <w:style w:type="paragraph" w:styleId="Spistreci1">
    <w:name w:val="toc 1"/>
    <w:basedOn w:val="Normalny"/>
    <w:next w:val="Normalny"/>
    <w:autoRedefine/>
    <w:uiPriority w:val="39"/>
    <w:unhideWhenUsed/>
    <w:rsid w:val="004B4958"/>
    <w:pPr>
      <w:tabs>
        <w:tab w:val="right" w:leader="dot" w:pos="9062"/>
      </w:tabs>
      <w:ind w:left="567"/>
    </w:pPr>
    <w:rPr>
      <w:rFonts w:ascii="Arial" w:hAnsi="Arial"/>
      <w:b/>
      <w:noProof/>
      <w:sz w:val="24"/>
    </w:rPr>
  </w:style>
  <w:style w:type="paragraph" w:styleId="Spistreci2">
    <w:name w:val="toc 2"/>
    <w:basedOn w:val="Normalny"/>
    <w:next w:val="Normalny"/>
    <w:autoRedefine/>
    <w:uiPriority w:val="39"/>
    <w:unhideWhenUsed/>
    <w:rsid w:val="00C74D2A"/>
    <w:pPr>
      <w:tabs>
        <w:tab w:val="right" w:leader="dot" w:pos="9062"/>
      </w:tabs>
      <w:ind w:left="709"/>
    </w:pPr>
  </w:style>
  <w:style w:type="paragraph" w:styleId="Spistreci3">
    <w:name w:val="toc 3"/>
    <w:basedOn w:val="Normalny"/>
    <w:next w:val="Normalny"/>
    <w:autoRedefine/>
    <w:uiPriority w:val="39"/>
    <w:unhideWhenUsed/>
    <w:rsid w:val="004B4958"/>
    <w:pPr>
      <w:tabs>
        <w:tab w:val="right" w:leader="dot" w:pos="9062"/>
      </w:tabs>
      <w:ind w:left="851"/>
    </w:pPr>
  </w:style>
  <w:style w:type="paragraph" w:customStyle="1" w:styleId="Znak">
    <w:name w:val="Znak"/>
    <w:basedOn w:val="Normalny"/>
    <w:rsid w:val="00C93C37"/>
    <w:pPr>
      <w:spacing w:after="120" w:line="240" w:lineRule="exact"/>
      <w:ind w:left="0" w:firstLine="0"/>
      <w:jc w:val="left"/>
    </w:pPr>
    <w:rPr>
      <w:lang w:val="en-US"/>
    </w:rPr>
  </w:style>
  <w:style w:type="paragraph" w:styleId="Lista2">
    <w:name w:val="List 2"/>
    <w:basedOn w:val="Normalny"/>
    <w:rsid w:val="00C93C37"/>
    <w:pPr>
      <w:spacing w:line="240" w:lineRule="auto"/>
      <w:ind w:left="566" w:hanging="283"/>
      <w:jc w:val="left"/>
    </w:pPr>
    <w:rPr>
      <w:rFonts w:ascii="Times New Roman" w:hAnsi="Times New Roman" w:cs="Times New Roman"/>
      <w:lang w:eastAsia="pl-PL"/>
    </w:rPr>
  </w:style>
  <w:style w:type="paragraph" w:styleId="Listapunktowana3">
    <w:name w:val="List Bullet 3"/>
    <w:basedOn w:val="Normalny"/>
    <w:rsid w:val="00C93C37"/>
    <w:pPr>
      <w:numPr>
        <w:numId w:val="6"/>
      </w:numPr>
      <w:spacing w:line="240" w:lineRule="auto"/>
      <w:jc w:val="left"/>
    </w:pPr>
    <w:rPr>
      <w:rFonts w:ascii="Times New Roman" w:hAnsi="Times New Roman" w:cs="Times New Roman"/>
      <w:lang w:eastAsia="pl-PL"/>
    </w:rPr>
  </w:style>
  <w:style w:type="paragraph" w:styleId="Tekstkomentarza">
    <w:name w:val="annotation text"/>
    <w:basedOn w:val="Normalny"/>
    <w:rsid w:val="004567BF"/>
    <w:pPr>
      <w:spacing w:before="120" w:line="300" w:lineRule="auto"/>
      <w:ind w:left="0" w:firstLine="0"/>
      <w:jc w:val="left"/>
    </w:pPr>
    <w:rPr>
      <w:rFonts w:ascii="Arial" w:hAnsi="Arial" w:cs="Times New Roman"/>
      <w:lang w:eastAsia="pl-PL"/>
    </w:rPr>
  </w:style>
  <w:style w:type="character" w:styleId="Odwoaniedokomentarza">
    <w:name w:val="annotation reference"/>
    <w:rsid w:val="004567BF"/>
    <w:rPr>
      <w:sz w:val="16"/>
      <w:szCs w:val="16"/>
    </w:rPr>
  </w:style>
  <w:style w:type="paragraph" w:customStyle="1" w:styleId="wypunktowanie0">
    <w:name w:val="wypunktowanie 0"/>
    <w:basedOn w:val="Normalny"/>
    <w:rsid w:val="004567BF"/>
    <w:pPr>
      <w:spacing w:before="120" w:line="300" w:lineRule="auto"/>
      <w:ind w:left="284" w:hanging="284"/>
    </w:pPr>
    <w:rPr>
      <w:rFonts w:ascii="Arial" w:hAnsi="Arial" w:cs="Arial"/>
      <w:lang w:eastAsia="pl-PL"/>
    </w:rPr>
  </w:style>
  <w:style w:type="paragraph" w:customStyle="1" w:styleId="tekstpodsta0">
    <w:name w:val="tekst podst a) 0"/>
    <w:basedOn w:val="Normalny"/>
    <w:rsid w:val="004567BF"/>
    <w:pPr>
      <w:spacing w:before="120" w:line="300" w:lineRule="auto"/>
      <w:ind w:left="360" w:firstLine="0"/>
    </w:pPr>
    <w:rPr>
      <w:rFonts w:ascii="Arial" w:hAnsi="Arial" w:cs="Arial"/>
      <w:lang w:eastAsia="pl-PL"/>
    </w:rPr>
  </w:style>
  <w:style w:type="paragraph" w:styleId="Tematkomentarza">
    <w:name w:val="annotation subject"/>
    <w:basedOn w:val="Tekstkomentarza"/>
    <w:next w:val="Tekstkomentarza"/>
    <w:semiHidden/>
    <w:rsid w:val="00CE5F19"/>
    <w:pPr>
      <w:spacing w:before="0" w:line="360" w:lineRule="auto"/>
      <w:ind w:left="1276" w:hanging="556"/>
      <w:jc w:val="both"/>
    </w:pPr>
    <w:rPr>
      <w:rFonts w:ascii="Verdana" w:hAnsi="Verdana" w:cs="Verdana"/>
      <w:b/>
      <w:bCs/>
      <w:lang w:eastAsia="en-US"/>
    </w:rPr>
  </w:style>
  <w:style w:type="paragraph" w:styleId="Akapitzlist">
    <w:name w:val="List Paragraph"/>
    <w:basedOn w:val="Normalny"/>
    <w:uiPriority w:val="72"/>
    <w:rsid w:val="00D76350"/>
    <w:pPr>
      <w:ind w:left="720"/>
      <w:contextualSpacing/>
    </w:pPr>
  </w:style>
  <w:style w:type="paragraph" w:styleId="HTML-wstpniesformatowany">
    <w:name w:val="HTML Preformatted"/>
    <w:basedOn w:val="Normalny"/>
    <w:link w:val="HTML-wstpniesformatowanyZnak"/>
    <w:uiPriority w:val="99"/>
    <w:rsid w:val="002C3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cs="Times New Roman"/>
    </w:rPr>
  </w:style>
  <w:style w:type="character" w:customStyle="1" w:styleId="HTML-wstpniesformatowanyZnak">
    <w:name w:val="HTML - wstępnie sformatowany Znak"/>
    <w:basedOn w:val="Domylnaczcionkaakapitu"/>
    <w:link w:val="HTML-wstpniesformatowany"/>
    <w:uiPriority w:val="99"/>
    <w:rsid w:val="002C32B0"/>
    <w:rPr>
      <w:rFonts w:ascii="Courier New" w:eastAsia="Times New Roman" w:hAnsi="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96078">
      <w:bodyDiv w:val="1"/>
      <w:marLeft w:val="0"/>
      <w:marRight w:val="0"/>
      <w:marTop w:val="0"/>
      <w:marBottom w:val="0"/>
      <w:divBdr>
        <w:top w:val="none" w:sz="0" w:space="0" w:color="auto"/>
        <w:left w:val="none" w:sz="0" w:space="0" w:color="auto"/>
        <w:bottom w:val="none" w:sz="0" w:space="0" w:color="auto"/>
        <w:right w:val="none" w:sz="0" w:space="0" w:color="auto"/>
      </w:divBdr>
      <w:divsChild>
        <w:div w:id="1342318148">
          <w:marLeft w:val="547"/>
          <w:marRight w:val="0"/>
          <w:marTop w:val="154"/>
          <w:marBottom w:val="0"/>
          <w:divBdr>
            <w:top w:val="none" w:sz="0" w:space="0" w:color="auto"/>
            <w:left w:val="none" w:sz="0" w:space="0" w:color="auto"/>
            <w:bottom w:val="none" w:sz="0" w:space="0" w:color="auto"/>
            <w:right w:val="none" w:sz="0" w:space="0" w:color="auto"/>
          </w:divBdr>
        </w:div>
      </w:divsChild>
    </w:div>
    <w:div w:id="877470941">
      <w:bodyDiv w:val="1"/>
      <w:marLeft w:val="0"/>
      <w:marRight w:val="0"/>
      <w:marTop w:val="0"/>
      <w:marBottom w:val="0"/>
      <w:divBdr>
        <w:top w:val="none" w:sz="0" w:space="0" w:color="auto"/>
        <w:left w:val="none" w:sz="0" w:space="0" w:color="auto"/>
        <w:bottom w:val="none" w:sz="0" w:space="0" w:color="auto"/>
        <w:right w:val="none" w:sz="0" w:space="0" w:color="auto"/>
      </w:divBdr>
      <w:divsChild>
        <w:div w:id="1036929494">
          <w:marLeft w:val="547"/>
          <w:marRight w:val="0"/>
          <w:marTop w:val="15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file://localhost/Users/aneta.wilanowska/Downloads/http://piotrbunsch.wspinanie.pl/blog/files/2013/02/Qumak_RGB_2013.jpg" TargetMode="External"/><Relationship Id="rId1" Type="http://schemas.openxmlformats.org/officeDocument/2006/relationships/image" Target="media/image2.jpeg"/><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35312-D657-4785-AED6-9789899F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4290</Words>
  <Characters>25741</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Sł▬ownik</vt:lpstr>
    </vt:vector>
  </TitlesOfParts>
  <Company>Microsoft</Company>
  <LinksUpToDate>false</LinksUpToDate>
  <CharactersWithSpaces>29972</CharactersWithSpaces>
  <SharedDoc>false</SharedDoc>
  <HLinks>
    <vt:vector size="24" baseType="variant">
      <vt:variant>
        <vt:i4>1769532</vt:i4>
      </vt:variant>
      <vt:variant>
        <vt:i4>14</vt:i4>
      </vt:variant>
      <vt:variant>
        <vt:i4>0</vt:i4>
      </vt:variant>
      <vt:variant>
        <vt:i4>5</vt:i4>
      </vt:variant>
      <vt:variant>
        <vt:lpwstr/>
      </vt:variant>
      <vt:variant>
        <vt:lpwstr>_Toc397590103</vt:lpwstr>
      </vt:variant>
      <vt:variant>
        <vt:i4>1769532</vt:i4>
      </vt:variant>
      <vt:variant>
        <vt:i4>8</vt:i4>
      </vt:variant>
      <vt:variant>
        <vt:i4>0</vt:i4>
      </vt:variant>
      <vt:variant>
        <vt:i4>5</vt:i4>
      </vt:variant>
      <vt:variant>
        <vt:lpwstr/>
      </vt:variant>
      <vt:variant>
        <vt:lpwstr>_Toc397590102</vt:lpwstr>
      </vt:variant>
      <vt:variant>
        <vt:i4>1769532</vt:i4>
      </vt:variant>
      <vt:variant>
        <vt:i4>2</vt:i4>
      </vt:variant>
      <vt:variant>
        <vt:i4>0</vt:i4>
      </vt:variant>
      <vt:variant>
        <vt:i4>5</vt:i4>
      </vt:variant>
      <vt:variant>
        <vt:lpwstr/>
      </vt:variant>
      <vt:variant>
        <vt:lpwstr>_Toc397590101</vt:lpwstr>
      </vt:variant>
      <vt:variant>
        <vt:i4>4390914</vt:i4>
      </vt:variant>
      <vt:variant>
        <vt:i4>-1</vt:i4>
      </vt:variant>
      <vt:variant>
        <vt:i4>2060</vt:i4>
      </vt:variant>
      <vt:variant>
        <vt:i4>1</vt:i4>
      </vt:variant>
      <vt:variant>
        <vt:lpwstr>http://piotrbunsch.wspinanie.pl/blog/files/2013/02/Qumak_RGB_2013.jpg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Sł▬ownik</dc:title>
  <dc:creator>Piotr Naszkowski</dc:creator>
  <cp:lastModifiedBy>Justyna Pozaroszczyk</cp:lastModifiedBy>
  <cp:revision>4</cp:revision>
  <cp:lastPrinted>2014-04-29T14:25:00Z</cp:lastPrinted>
  <dcterms:created xsi:type="dcterms:W3CDTF">2015-01-19T22:28:00Z</dcterms:created>
  <dcterms:modified xsi:type="dcterms:W3CDTF">2015-01-28T14:51:00Z</dcterms:modified>
</cp:coreProperties>
</file>