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87" w:rsidRPr="00244D8D" w:rsidRDefault="00590D87" w:rsidP="00D30A16">
      <w:pPr>
        <w:rPr>
          <w:lang w:val="en-US"/>
        </w:rPr>
      </w:pPr>
      <w:r w:rsidRPr="00244D8D">
        <w:rPr>
          <w:lang w:val="en-US"/>
        </w:rPr>
        <w:t>Case No.</w:t>
      </w:r>
      <w:r w:rsidR="00244D8D" w:rsidRPr="00244D8D">
        <w:rPr>
          <w:lang w:val="en-US"/>
        </w:rPr>
        <w:t xml:space="preserve"> BA.WZP.26.5.6.2021.1</w:t>
      </w:r>
      <w:r w:rsidRPr="00244D8D">
        <w:rPr>
          <w:lang w:val="en-US"/>
        </w:rPr>
        <w:tab/>
      </w:r>
      <w:r w:rsidRPr="00244D8D">
        <w:rPr>
          <w:lang w:val="en-US"/>
        </w:rPr>
        <w:tab/>
      </w:r>
      <w:r w:rsidRPr="00244D8D">
        <w:rPr>
          <w:lang w:val="en-US"/>
        </w:rPr>
        <w:tab/>
      </w:r>
      <w:r w:rsidRPr="00244D8D">
        <w:rPr>
          <w:lang w:val="en-US"/>
        </w:rPr>
        <w:tab/>
      </w:r>
      <w:r w:rsidRPr="00244D8D">
        <w:rPr>
          <w:lang w:val="en-US"/>
        </w:rPr>
        <w:tab/>
      </w:r>
      <w:r w:rsidRPr="00244D8D">
        <w:rPr>
          <w:lang w:val="en-US"/>
        </w:rPr>
        <w:tab/>
      </w:r>
      <w:r w:rsidRPr="00244D8D">
        <w:rPr>
          <w:lang w:val="en-US"/>
        </w:rPr>
        <w:tab/>
        <w:t>Warsaw</w:t>
      </w:r>
      <w:r w:rsidR="00244D8D">
        <w:rPr>
          <w:lang w:val="en-US"/>
        </w:rPr>
        <w:t xml:space="preserve"> 24/03/2021</w:t>
      </w:r>
    </w:p>
    <w:p w:rsidR="00590D87" w:rsidRDefault="00590D87" w:rsidP="00D30A16">
      <w:pPr>
        <w:rPr>
          <w:lang w:val="en-US"/>
        </w:rPr>
      </w:pPr>
    </w:p>
    <w:p w:rsidR="00D30A16" w:rsidRPr="00590D87" w:rsidRDefault="00D30A16" w:rsidP="00590D87">
      <w:pPr>
        <w:jc w:val="center"/>
        <w:rPr>
          <w:b/>
          <w:lang w:val="en-US"/>
        </w:rPr>
      </w:pPr>
      <w:r w:rsidRPr="00590D87">
        <w:rPr>
          <w:b/>
          <w:lang w:val="en-US"/>
        </w:rPr>
        <w:t>INVITATION TO TENDER</w:t>
      </w:r>
    </w:p>
    <w:p w:rsidR="00D30A16" w:rsidRPr="00D30A16" w:rsidRDefault="00D30A16" w:rsidP="00D30A16">
      <w:pPr>
        <w:rPr>
          <w:lang w:val="en-US"/>
        </w:rPr>
      </w:pPr>
    </w:p>
    <w:p w:rsidR="00D30A16" w:rsidRPr="00590D87" w:rsidRDefault="00D30A16" w:rsidP="00590D87">
      <w:pPr>
        <w:pStyle w:val="Akapitzlist"/>
        <w:numPr>
          <w:ilvl w:val="0"/>
          <w:numId w:val="1"/>
        </w:numPr>
        <w:rPr>
          <w:b/>
          <w:lang w:val="en-US"/>
        </w:rPr>
      </w:pPr>
      <w:r w:rsidRPr="00590D87">
        <w:rPr>
          <w:b/>
          <w:lang w:val="en-US"/>
        </w:rPr>
        <w:t xml:space="preserve">The </w:t>
      </w:r>
      <w:r w:rsidR="00590D87" w:rsidRPr="00590D87">
        <w:rPr>
          <w:b/>
          <w:lang w:val="en-US"/>
        </w:rPr>
        <w:t xml:space="preserve">Contracting </w:t>
      </w:r>
      <w:r w:rsidR="00736FFE">
        <w:rPr>
          <w:b/>
          <w:lang w:val="en-US"/>
        </w:rPr>
        <w:t xml:space="preserve">Authority </w:t>
      </w:r>
    </w:p>
    <w:p w:rsidR="00D30A16" w:rsidRPr="00D30A16" w:rsidRDefault="00D30A16" w:rsidP="00D30A16">
      <w:pPr>
        <w:rPr>
          <w:lang w:val="en-US"/>
        </w:rPr>
      </w:pPr>
      <w:r w:rsidRPr="00D30A16">
        <w:rPr>
          <w:lang w:val="en-US"/>
        </w:rPr>
        <w:t>State Treasury - Office of Electronic Communications</w:t>
      </w:r>
      <w:r>
        <w:rPr>
          <w:lang w:val="en-US"/>
        </w:rPr>
        <w:t xml:space="preserve"> (UKE)</w:t>
      </w:r>
      <w:r w:rsidRPr="00D30A16">
        <w:rPr>
          <w:lang w:val="en-US"/>
        </w:rPr>
        <w:t xml:space="preserve">, </w:t>
      </w:r>
      <w:r>
        <w:rPr>
          <w:lang w:val="en-US"/>
        </w:rPr>
        <w:t xml:space="preserve">with its registered office </w:t>
      </w:r>
      <w:r w:rsidRPr="00D30A16">
        <w:rPr>
          <w:lang w:val="en-US"/>
        </w:rPr>
        <w:t>at ul. Giełdowa 7/9, 01-211 Warsaw</w:t>
      </w:r>
      <w:r w:rsidR="00590D87">
        <w:rPr>
          <w:lang w:val="en-US"/>
        </w:rPr>
        <w:t>, NIP 527-23-67-496,</w:t>
      </w:r>
      <w:r w:rsidRPr="00D30A16">
        <w:rPr>
          <w:lang w:val="en-US"/>
        </w:rPr>
        <w:t xml:space="preserve"> hereinafter referred to as the </w:t>
      </w:r>
      <w:r w:rsidR="00590D87">
        <w:rPr>
          <w:lang w:val="en-US"/>
        </w:rPr>
        <w:t>Contracting</w:t>
      </w:r>
      <w:r w:rsidR="00736FFE">
        <w:rPr>
          <w:lang w:val="en-US"/>
        </w:rPr>
        <w:t xml:space="preserve"> Authority</w:t>
      </w:r>
      <w:r w:rsidRPr="00D30A16">
        <w:rPr>
          <w:lang w:val="en-US"/>
        </w:rPr>
        <w:t>.</w:t>
      </w:r>
    </w:p>
    <w:p w:rsidR="00D30A16" w:rsidRPr="00D30A16" w:rsidRDefault="00D30A16" w:rsidP="00D30A16">
      <w:pPr>
        <w:rPr>
          <w:lang w:val="en-US"/>
        </w:rPr>
      </w:pPr>
    </w:p>
    <w:p w:rsidR="00D30A16" w:rsidRPr="00590D87" w:rsidRDefault="004D3D5E" w:rsidP="00590D87">
      <w:pPr>
        <w:pStyle w:val="Akapitzlist"/>
        <w:numPr>
          <w:ilvl w:val="0"/>
          <w:numId w:val="1"/>
        </w:numPr>
        <w:rPr>
          <w:b/>
          <w:lang w:val="en-US"/>
        </w:rPr>
      </w:pPr>
      <w:r>
        <w:rPr>
          <w:b/>
          <w:lang w:val="en-US"/>
        </w:rPr>
        <w:t>Subject Matter of the C</w:t>
      </w:r>
      <w:r w:rsidR="00D30A16" w:rsidRPr="00590D87">
        <w:rPr>
          <w:b/>
          <w:lang w:val="en-US"/>
        </w:rPr>
        <w:t>ontract</w:t>
      </w:r>
    </w:p>
    <w:p w:rsidR="00D30A16" w:rsidRPr="00D30A16" w:rsidRDefault="00D30A16" w:rsidP="00D30A16">
      <w:pPr>
        <w:rPr>
          <w:lang w:val="en-US"/>
        </w:rPr>
      </w:pPr>
    </w:p>
    <w:p w:rsidR="00864CD5" w:rsidRDefault="00D30A16" w:rsidP="00D30A16">
      <w:pPr>
        <w:rPr>
          <w:lang w:val="en-US"/>
        </w:rPr>
      </w:pPr>
      <w:r w:rsidRPr="00D30A16">
        <w:rPr>
          <w:lang w:val="en-US"/>
        </w:rPr>
        <w:t>The subject matter of the contract is the service of</w:t>
      </w:r>
      <w:r w:rsidR="00C87E2C">
        <w:rPr>
          <w:lang w:val="en-US"/>
        </w:rPr>
        <w:t xml:space="preserve"> providing</w:t>
      </w:r>
      <w:r w:rsidRPr="00D30A16">
        <w:rPr>
          <w:lang w:val="en-US"/>
        </w:rPr>
        <w:t xml:space="preserve"> technical support in international coo</w:t>
      </w:r>
      <w:r w:rsidR="00590D87">
        <w:rPr>
          <w:lang w:val="en-US"/>
        </w:rPr>
        <w:t>rdination of new BSS assignment</w:t>
      </w:r>
      <w:r w:rsidR="00731A86">
        <w:rPr>
          <w:lang w:val="en-US"/>
        </w:rPr>
        <w:t>s</w:t>
      </w:r>
      <w:r w:rsidRPr="00D30A16">
        <w:rPr>
          <w:lang w:val="en-US"/>
        </w:rPr>
        <w:t xml:space="preserve"> submitted to the ITU </w:t>
      </w:r>
      <w:r w:rsidR="00B4591D">
        <w:rPr>
          <w:lang w:val="en-US"/>
        </w:rPr>
        <w:t xml:space="preserve">under </w:t>
      </w:r>
      <w:r w:rsidRPr="00D30A16">
        <w:rPr>
          <w:lang w:val="en-US"/>
        </w:rPr>
        <w:t>Appendix 30/30A of the Radio Regulations.</w:t>
      </w:r>
    </w:p>
    <w:p w:rsidR="00590D87" w:rsidRDefault="00590D87" w:rsidP="00D30A16">
      <w:pPr>
        <w:rPr>
          <w:lang w:val="en-US"/>
        </w:rPr>
      </w:pPr>
    </w:p>
    <w:p w:rsidR="00590D87" w:rsidRPr="004D3D5E" w:rsidRDefault="004D3D5E" w:rsidP="0059405D">
      <w:pPr>
        <w:pStyle w:val="Akapitzlist"/>
        <w:numPr>
          <w:ilvl w:val="0"/>
          <w:numId w:val="1"/>
        </w:numPr>
        <w:rPr>
          <w:b/>
          <w:lang w:val="en-US"/>
        </w:rPr>
      </w:pPr>
      <w:r w:rsidRPr="004D3D5E">
        <w:rPr>
          <w:b/>
          <w:lang w:val="en-US"/>
        </w:rPr>
        <w:t>Description of the P</w:t>
      </w:r>
      <w:r w:rsidR="0059405D" w:rsidRPr="004D3D5E">
        <w:rPr>
          <w:b/>
          <w:lang w:val="en-US"/>
        </w:rPr>
        <w:t>roblem</w:t>
      </w:r>
    </w:p>
    <w:p w:rsidR="0059405D" w:rsidRPr="0059405D" w:rsidRDefault="0059405D" w:rsidP="0059405D">
      <w:pPr>
        <w:rPr>
          <w:lang w:val="en-US"/>
        </w:rPr>
      </w:pPr>
      <w:r w:rsidRPr="0059405D">
        <w:rPr>
          <w:lang w:val="en-US"/>
        </w:rPr>
        <w:t xml:space="preserve">One of the agenda items for WRC19 (AI 1.4) concerned the possibility of </w:t>
      </w:r>
      <w:r>
        <w:rPr>
          <w:lang w:val="en-US"/>
        </w:rPr>
        <w:t>additional new</w:t>
      </w:r>
      <w:r w:rsidRPr="0059405D">
        <w:rPr>
          <w:lang w:val="en-US"/>
        </w:rPr>
        <w:t xml:space="preserve"> orbital </w:t>
      </w:r>
      <w:r>
        <w:rPr>
          <w:lang w:val="en-US"/>
        </w:rPr>
        <w:t>positions</w:t>
      </w:r>
      <w:r w:rsidRPr="0059405D">
        <w:rPr>
          <w:lang w:val="en-US"/>
        </w:rPr>
        <w:t xml:space="preserve"> for the satellite broadcasting service-BSS. </w:t>
      </w:r>
    </w:p>
    <w:p w:rsidR="0059405D" w:rsidRPr="0059405D" w:rsidRDefault="00B758D8" w:rsidP="0059405D">
      <w:pPr>
        <w:rPr>
          <w:lang w:val="en-US"/>
        </w:rPr>
      </w:pPr>
      <w:r w:rsidRPr="00B758D8">
        <w:rPr>
          <w:lang w:val="en-US"/>
        </w:rPr>
        <w:t xml:space="preserve">The current Polish assignment in the BSS Plan is burdened with the possibility of interference (inadequate value of the equivalent protection margin </w:t>
      </w:r>
      <w:r w:rsidR="00731A86">
        <w:rPr>
          <w:lang w:val="en-US"/>
        </w:rPr>
        <w:t xml:space="preserve">- </w:t>
      </w:r>
      <w:r w:rsidRPr="00B758D8">
        <w:rPr>
          <w:lang w:val="en-US"/>
        </w:rPr>
        <w:t xml:space="preserve">EPM), which strongly impedes its effective implementation. WRC-19 introduced additional opportunities for administrations holding such </w:t>
      </w:r>
      <w:r>
        <w:rPr>
          <w:lang w:val="en-US"/>
        </w:rPr>
        <w:t>assignments</w:t>
      </w:r>
      <w:r w:rsidRPr="00B758D8">
        <w:rPr>
          <w:lang w:val="en-US"/>
        </w:rPr>
        <w:t>. In May 2020</w:t>
      </w:r>
      <w:r w:rsidR="00731A86">
        <w:rPr>
          <w:lang w:val="en-US"/>
        </w:rPr>
        <w:t>,</w:t>
      </w:r>
      <w:r w:rsidRPr="00B758D8">
        <w:rPr>
          <w:lang w:val="en-US"/>
        </w:rPr>
        <w:t xml:space="preserve"> the filing in accordance with § 4.1.3 of Appendices 30 and 30A was sent to the ITU by the Contracting Authority in order to obtain a new assignment, which will have more favourable EPM values.</w:t>
      </w:r>
    </w:p>
    <w:p w:rsidR="007C3B8C" w:rsidRDefault="007C3B8C" w:rsidP="0059405D">
      <w:pPr>
        <w:rPr>
          <w:lang w:val="en-US"/>
        </w:rPr>
      </w:pPr>
      <w:r w:rsidRPr="007C3B8C">
        <w:rPr>
          <w:lang w:val="en-US"/>
        </w:rPr>
        <w:t xml:space="preserve">On 27 October 2020, ITU BR published the </w:t>
      </w:r>
      <w:r>
        <w:rPr>
          <w:lang w:val="en-US"/>
        </w:rPr>
        <w:t>submitted</w:t>
      </w:r>
      <w:r w:rsidRPr="007C3B8C">
        <w:rPr>
          <w:lang w:val="en-US"/>
        </w:rPr>
        <w:t xml:space="preserve"> parameters in the so-called BR IFIC Circular, and from that moment a four-month period began for other administrations to make comments or raise objections. At the end of this period, a summary of the concerns raised was published by the ITU, in the so-called Part D of the International Frequency Information Circular (IFIC). </w:t>
      </w:r>
      <w:r>
        <w:rPr>
          <w:lang w:val="en-US"/>
        </w:rPr>
        <w:t>Since then</w:t>
      </w:r>
      <w:r w:rsidRPr="007C3B8C">
        <w:rPr>
          <w:lang w:val="en-US"/>
        </w:rPr>
        <w:t>, the period began in which coordination of the new assignment must be carried out with specific organisations and other administrations concerned responsible for coordinating the assignments identified in the previous phase as interfered.</w:t>
      </w:r>
    </w:p>
    <w:p w:rsidR="007C3B8C" w:rsidRPr="007C3B8C" w:rsidRDefault="004D3D5E" w:rsidP="007C3B8C">
      <w:pPr>
        <w:pStyle w:val="Akapitzlist"/>
        <w:numPr>
          <w:ilvl w:val="0"/>
          <w:numId w:val="1"/>
        </w:numPr>
        <w:rPr>
          <w:b/>
          <w:lang w:val="en-US"/>
        </w:rPr>
      </w:pPr>
      <w:r>
        <w:rPr>
          <w:b/>
          <w:lang w:val="en-US"/>
        </w:rPr>
        <w:t xml:space="preserve"> Detailed Scope of the C</w:t>
      </w:r>
      <w:r w:rsidR="007C3B8C" w:rsidRPr="007C3B8C">
        <w:rPr>
          <w:b/>
          <w:lang w:val="en-US"/>
        </w:rPr>
        <w:t>ontract</w:t>
      </w:r>
    </w:p>
    <w:p w:rsidR="008A6F7A" w:rsidRPr="008A6F7A" w:rsidRDefault="008A6F7A" w:rsidP="008A6F7A">
      <w:pPr>
        <w:rPr>
          <w:lang w:val="en-US"/>
        </w:rPr>
      </w:pPr>
      <w:r w:rsidRPr="008A6F7A">
        <w:rPr>
          <w:lang w:val="en-US"/>
        </w:rPr>
        <w:t xml:space="preserve">4.1 . Review </w:t>
      </w:r>
      <w:r w:rsidR="00837BC0">
        <w:rPr>
          <w:lang w:val="en-US"/>
        </w:rPr>
        <w:t>of IFIC and Preparation of C</w:t>
      </w:r>
      <w:r w:rsidRPr="008A6F7A">
        <w:rPr>
          <w:lang w:val="en-US"/>
        </w:rPr>
        <w:t xml:space="preserve">omments </w:t>
      </w:r>
    </w:p>
    <w:p w:rsidR="007C3B8C" w:rsidRDefault="008A6F7A" w:rsidP="008A6F7A">
      <w:pPr>
        <w:rPr>
          <w:lang w:val="en-US"/>
        </w:rPr>
      </w:pPr>
      <w:r w:rsidRPr="008A6F7A">
        <w:rPr>
          <w:lang w:val="en-US"/>
        </w:rPr>
        <w:t xml:space="preserve">The Contractor shall review every </w:t>
      </w:r>
      <w:r w:rsidR="00C87E2C">
        <w:rPr>
          <w:lang w:val="en-US"/>
        </w:rPr>
        <w:t xml:space="preserve">two weeks </w:t>
      </w:r>
      <w:r w:rsidRPr="008A6F7A">
        <w:rPr>
          <w:lang w:val="en-US"/>
        </w:rPr>
        <w:t xml:space="preserve">each publication of the International Frequency Information Circular (IFIC) and prepare comments to be sent by the Contracting Authority to foreign </w:t>
      </w:r>
      <w:r w:rsidRPr="008A6F7A">
        <w:rPr>
          <w:lang w:val="en-US"/>
        </w:rPr>
        <w:lastRenderedPageBreak/>
        <w:t>administrations. The comments shall refer to the satellite networks of various foreign administrations published in the given Circular, which may have an impact (cause interference) on the Contracting Authority's satellite network.</w:t>
      </w:r>
    </w:p>
    <w:p w:rsidR="00837BC0" w:rsidRDefault="00837BC0" w:rsidP="008A6F7A">
      <w:pPr>
        <w:rPr>
          <w:lang w:val="en-US"/>
        </w:rPr>
      </w:pPr>
    </w:p>
    <w:p w:rsidR="00837BC0" w:rsidRPr="00837BC0" w:rsidRDefault="002462FE" w:rsidP="00837BC0">
      <w:pPr>
        <w:rPr>
          <w:lang w:val="en-US"/>
        </w:rPr>
      </w:pPr>
      <w:r>
        <w:rPr>
          <w:lang w:val="en-US"/>
        </w:rPr>
        <w:t xml:space="preserve">4.2. </w:t>
      </w:r>
      <w:r w:rsidR="00837BC0">
        <w:rPr>
          <w:lang w:val="en-US"/>
        </w:rPr>
        <w:t>Identification of Coordination N</w:t>
      </w:r>
      <w:r w:rsidR="00837BC0" w:rsidRPr="00837BC0">
        <w:rPr>
          <w:lang w:val="en-US"/>
        </w:rPr>
        <w:t>eeds</w:t>
      </w:r>
    </w:p>
    <w:p w:rsidR="008A6F7A" w:rsidRDefault="00837BC0" w:rsidP="00837BC0">
      <w:pPr>
        <w:rPr>
          <w:lang w:val="en-US"/>
        </w:rPr>
      </w:pPr>
      <w:r w:rsidRPr="00837BC0">
        <w:rPr>
          <w:lang w:val="en-US"/>
        </w:rPr>
        <w:t>Based on the information published by the ITU in Part D of the International Frequency Information Circular (IFIC), the Contractor shall prepare a summary containing identified coordination needs for the Contracting Authority's network and assist in taking appropriate coordination actions.</w:t>
      </w:r>
    </w:p>
    <w:p w:rsidR="002462FE" w:rsidRDefault="002462FE" w:rsidP="002462FE">
      <w:pPr>
        <w:rPr>
          <w:lang w:val="en-US"/>
        </w:rPr>
      </w:pPr>
    </w:p>
    <w:p w:rsidR="002462FE" w:rsidRPr="002462FE" w:rsidRDefault="002462FE" w:rsidP="002462FE">
      <w:pPr>
        <w:rPr>
          <w:lang w:val="en-US"/>
        </w:rPr>
      </w:pPr>
      <w:r>
        <w:rPr>
          <w:lang w:val="en-US"/>
        </w:rPr>
        <w:t>4.3.</w:t>
      </w:r>
      <w:r w:rsidRPr="002462FE">
        <w:rPr>
          <w:lang w:val="en-US"/>
        </w:rPr>
        <w:t xml:space="preserve"> Frequency Coordination Support</w:t>
      </w:r>
    </w:p>
    <w:p w:rsidR="002462FE" w:rsidRPr="002462FE" w:rsidRDefault="002462FE" w:rsidP="002462FE">
      <w:pPr>
        <w:rPr>
          <w:lang w:val="en-US"/>
        </w:rPr>
      </w:pPr>
      <w:r w:rsidRPr="002462FE">
        <w:rPr>
          <w:lang w:val="en-US"/>
        </w:rPr>
        <w:t xml:space="preserve">In consultation with the Contracting Authority, the Contractor </w:t>
      </w:r>
      <w:r w:rsidR="008D5E53">
        <w:rPr>
          <w:lang w:val="en-US"/>
        </w:rPr>
        <w:t xml:space="preserve">shall </w:t>
      </w:r>
      <w:r w:rsidRPr="002462FE">
        <w:rPr>
          <w:lang w:val="en-US"/>
        </w:rPr>
        <w:t>prepare the required correspondence for the organisations and administrations concerned responsible for the notified satellite networks in order to engage them in the coordination.</w:t>
      </w:r>
    </w:p>
    <w:p w:rsidR="00837BC0" w:rsidRDefault="002462FE" w:rsidP="002462FE">
      <w:pPr>
        <w:rPr>
          <w:lang w:val="en-US"/>
        </w:rPr>
      </w:pPr>
      <w:r w:rsidRPr="002462FE">
        <w:rPr>
          <w:lang w:val="en-US"/>
        </w:rPr>
        <w:t xml:space="preserve">The Contractor </w:t>
      </w:r>
      <w:r w:rsidR="008D5E53">
        <w:rPr>
          <w:lang w:val="en-US"/>
        </w:rPr>
        <w:t xml:space="preserve">shall </w:t>
      </w:r>
      <w:r w:rsidRPr="002462FE">
        <w:rPr>
          <w:lang w:val="en-US"/>
        </w:rPr>
        <w:t>prepare draft coordination agreements and engage in coordination with organisations or administrations and support the Contracting Authority in achieving the necessary coordination agreements.</w:t>
      </w:r>
    </w:p>
    <w:p w:rsidR="002462FE" w:rsidRDefault="002462FE" w:rsidP="002462FE">
      <w:pPr>
        <w:rPr>
          <w:lang w:val="en-US"/>
        </w:rPr>
      </w:pPr>
    </w:p>
    <w:p w:rsidR="00212887" w:rsidRPr="00212887" w:rsidRDefault="004D3D5E" w:rsidP="00212887">
      <w:pPr>
        <w:pStyle w:val="Akapitzlist"/>
        <w:numPr>
          <w:ilvl w:val="0"/>
          <w:numId w:val="1"/>
        </w:numPr>
        <w:rPr>
          <w:b/>
          <w:lang w:val="en-US"/>
        </w:rPr>
      </w:pPr>
      <w:r>
        <w:rPr>
          <w:b/>
          <w:lang w:val="en-US"/>
        </w:rPr>
        <w:t>Duration of the C</w:t>
      </w:r>
      <w:r w:rsidR="00212887" w:rsidRPr="00212887">
        <w:rPr>
          <w:b/>
          <w:lang w:val="en-US"/>
        </w:rPr>
        <w:t xml:space="preserve">ontract: </w:t>
      </w:r>
    </w:p>
    <w:p w:rsidR="00212887" w:rsidRDefault="00212887" w:rsidP="00212887">
      <w:pPr>
        <w:pStyle w:val="Akapitzlist"/>
        <w:rPr>
          <w:lang w:val="en-US"/>
        </w:rPr>
      </w:pPr>
    </w:p>
    <w:p w:rsidR="00212887" w:rsidRDefault="00212887" w:rsidP="00212887">
      <w:pPr>
        <w:pStyle w:val="Akapitzlist"/>
        <w:rPr>
          <w:lang w:val="en-US"/>
        </w:rPr>
      </w:pPr>
      <w:r w:rsidRPr="00212887">
        <w:rPr>
          <w:lang w:val="en-US"/>
        </w:rPr>
        <w:t xml:space="preserve">The support </w:t>
      </w:r>
      <w:r w:rsidR="008D5E53">
        <w:rPr>
          <w:lang w:val="en-US"/>
        </w:rPr>
        <w:t xml:space="preserve">shall </w:t>
      </w:r>
      <w:r w:rsidRPr="00212887">
        <w:rPr>
          <w:lang w:val="en-US"/>
        </w:rPr>
        <w:t xml:space="preserve">be </w:t>
      </w:r>
      <w:r>
        <w:rPr>
          <w:lang w:val="en-US"/>
        </w:rPr>
        <w:t>p</w:t>
      </w:r>
      <w:r w:rsidR="008D5E53">
        <w:rPr>
          <w:lang w:val="en-US"/>
        </w:rPr>
        <w:t>rovided</w:t>
      </w:r>
      <w:r w:rsidRPr="00212887">
        <w:rPr>
          <w:lang w:val="en-US"/>
        </w:rPr>
        <w:t xml:space="preserve"> for a period of 12 months from the date of signing the contract.</w:t>
      </w:r>
    </w:p>
    <w:p w:rsidR="004D3D5E" w:rsidRDefault="004D3D5E" w:rsidP="00212887">
      <w:pPr>
        <w:pStyle w:val="Akapitzlist"/>
        <w:rPr>
          <w:lang w:val="en-US"/>
        </w:rPr>
      </w:pPr>
    </w:p>
    <w:p w:rsidR="004D3D5E" w:rsidRDefault="004D3D5E" w:rsidP="00212887">
      <w:pPr>
        <w:pStyle w:val="Akapitzlist"/>
        <w:rPr>
          <w:lang w:val="en-US"/>
        </w:rPr>
      </w:pPr>
    </w:p>
    <w:p w:rsidR="00212887" w:rsidRPr="004D3D5E" w:rsidRDefault="00A31CD0" w:rsidP="004D3D5E">
      <w:pPr>
        <w:pStyle w:val="Akapitzlist"/>
        <w:numPr>
          <w:ilvl w:val="0"/>
          <w:numId w:val="1"/>
        </w:numPr>
        <w:rPr>
          <w:b/>
          <w:lang w:val="en-US"/>
        </w:rPr>
      </w:pPr>
      <w:r>
        <w:rPr>
          <w:b/>
          <w:lang w:val="en-US"/>
        </w:rPr>
        <w:t>Conditions for Participation in the P</w:t>
      </w:r>
      <w:r w:rsidR="004D3D5E" w:rsidRPr="004D3D5E">
        <w:rPr>
          <w:b/>
          <w:lang w:val="en-US"/>
        </w:rPr>
        <w:t>rocedure</w:t>
      </w:r>
    </w:p>
    <w:p w:rsidR="00707A99" w:rsidRDefault="00707A99" w:rsidP="00707A99">
      <w:pPr>
        <w:rPr>
          <w:lang w:val="en-US"/>
        </w:rPr>
      </w:pPr>
      <w:r w:rsidRPr="00707A99">
        <w:rPr>
          <w:lang w:val="en-US"/>
        </w:rPr>
        <w:t>The Contractor shall be obliged to prove that in the last 4 years before the deadline for submitting tenders, and if the period of activity is shorter</w:t>
      </w:r>
      <w:r w:rsidR="008D5E53">
        <w:rPr>
          <w:lang w:val="en-US"/>
        </w:rPr>
        <w:t>,</w:t>
      </w:r>
      <w:r w:rsidRPr="00707A99">
        <w:rPr>
          <w:lang w:val="en-US"/>
        </w:rPr>
        <w:t xml:space="preserve"> in this period, </w:t>
      </w:r>
      <w:r w:rsidR="008D5E53">
        <w:rPr>
          <w:lang w:val="en-US"/>
        </w:rPr>
        <w:t xml:space="preserve">it </w:t>
      </w:r>
      <w:r w:rsidRPr="00707A99">
        <w:rPr>
          <w:lang w:val="en-US"/>
        </w:rPr>
        <w:t xml:space="preserve">performed </w:t>
      </w:r>
      <w:r w:rsidR="008D5E53" w:rsidRPr="00707A99">
        <w:rPr>
          <w:lang w:val="en-US"/>
        </w:rPr>
        <w:t xml:space="preserve">properly </w:t>
      </w:r>
      <w:r w:rsidRPr="00707A99">
        <w:rPr>
          <w:lang w:val="en-US"/>
        </w:rPr>
        <w:t xml:space="preserve">at least two services consisting in technical support </w:t>
      </w:r>
      <w:r w:rsidR="008D5E53">
        <w:rPr>
          <w:lang w:val="en-US"/>
        </w:rPr>
        <w:t>in</w:t>
      </w:r>
      <w:r w:rsidRPr="00707A99">
        <w:rPr>
          <w:lang w:val="en-US"/>
        </w:rPr>
        <w:t xml:space="preserve"> the process of international coordination of new assignments for geostationary satellite systems based on procedures set forth in the Radio Regulations. </w:t>
      </w:r>
    </w:p>
    <w:p w:rsidR="00707A99" w:rsidRPr="00707A99" w:rsidRDefault="00707A99" w:rsidP="00707A99">
      <w:pPr>
        <w:rPr>
          <w:lang w:val="en-US"/>
        </w:rPr>
      </w:pPr>
      <w:r w:rsidRPr="00707A99">
        <w:rPr>
          <w:lang w:val="en-US"/>
        </w:rPr>
        <w:t>In order to confirm that the services have been duly performed, the Contractor shall present a list of the services performed, containing at least:</w:t>
      </w:r>
    </w:p>
    <w:p w:rsidR="00707A99" w:rsidRPr="00707A99" w:rsidRDefault="00707A99" w:rsidP="00707A99">
      <w:pPr>
        <w:rPr>
          <w:lang w:val="en-US"/>
        </w:rPr>
      </w:pPr>
      <w:r w:rsidRPr="00707A99">
        <w:rPr>
          <w:lang w:val="en-US"/>
        </w:rPr>
        <w:t>- short description of the services performed,</w:t>
      </w:r>
    </w:p>
    <w:p w:rsidR="00707A99" w:rsidRPr="00707A99" w:rsidRDefault="00707A99" w:rsidP="00707A99">
      <w:pPr>
        <w:rPr>
          <w:lang w:val="en-US"/>
        </w:rPr>
      </w:pPr>
      <w:r w:rsidRPr="00707A99">
        <w:rPr>
          <w:lang w:val="en-US"/>
        </w:rPr>
        <w:t xml:space="preserve">- name of the entity for which the services were </w:t>
      </w:r>
      <w:r w:rsidR="008D5E53">
        <w:rPr>
          <w:lang w:val="en-US"/>
        </w:rPr>
        <w:t>provided</w:t>
      </w:r>
      <w:r w:rsidRPr="00707A99">
        <w:rPr>
          <w:lang w:val="en-US"/>
        </w:rPr>
        <w:t>,</w:t>
      </w:r>
    </w:p>
    <w:p w:rsidR="00707A99" w:rsidRPr="002328EF" w:rsidRDefault="00707A99" w:rsidP="00707A99">
      <w:pPr>
        <w:rPr>
          <w:lang w:val="en-GB"/>
        </w:rPr>
      </w:pPr>
      <w:r w:rsidRPr="00707A99">
        <w:rPr>
          <w:lang w:val="en-US"/>
        </w:rPr>
        <w:t xml:space="preserve">- date of completion of these services. </w:t>
      </w:r>
    </w:p>
    <w:p w:rsidR="00707A99" w:rsidRPr="00707A99" w:rsidRDefault="00707A99" w:rsidP="00707A99">
      <w:pPr>
        <w:rPr>
          <w:lang w:val="en-US"/>
        </w:rPr>
      </w:pPr>
      <w:bookmarkStart w:id="0" w:name="_GoBack"/>
      <w:bookmarkEnd w:id="0"/>
    </w:p>
    <w:p w:rsidR="00707A99" w:rsidRPr="00707A99" w:rsidRDefault="00707A99" w:rsidP="00707A99">
      <w:pPr>
        <w:rPr>
          <w:lang w:val="en-US"/>
        </w:rPr>
      </w:pPr>
    </w:p>
    <w:p w:rsidR="004D3D5E" w:rsidRDefault="00707A99" w:rsidP="00707A99">
      <w:pPr>
        <w:rPr>
          <w:lang w:val="en-US"/>
        </w:rPr>
      </w:pPr>
      <w:r w:rsidRPr="00707A99">
        <w:rPr>
          <w:lang w:val="en-US"/>
        </w:rPr>
        <w:t>Along with the list of completed services, the Contractor shall be obliged to submit documents (references) confirming proper completion of these services.</w:t>
      </w:r>
    </w:p>
    <w:p w:rsidR="00406AEA" w:rsidRDefault="00406AEA" w:rsidP="00707A99">
      <w:pPr>
        <w:rPr>
          <w:lang w:val="en-US"/>
        </w:rPr>
      </w:pPr>
    </w:p>
    <w:p w:rsidR="00406AEA" w:rsidRPr="00406AEA" w:rsidRDefault="00B25DD0" w:rsidP="00406AEA">
      <w:pPr>
        <w:pStyle w:val="Akapitzlist"/>
        <w:numPr>
          <w:ilvl w:val="0"/>
          <w:numId w:val="1"/>
        </w:numPr>
        <w:rPr>
          <w:b/>
          <w:lang w:val="en-US"/>
        </w:rPr>
      </w:pPr>
      <w:r>
        <w:rPr>
          <w:b/>
          <w:lang w:val="en-US"/>
        </w:rPr>
        <w:t>Criteria for Selecting the Most Advantageous T</w:t>
      </w:r>
      <w:r w:rsidR="00406AEA" w:rsidRPr="00406AEA">
        <w:rPr>
          <w:b/>
          <w:lang w:val="en-US"/>
        </w:rPr>
        <w:t>ender</w:t>
      </w:r>
    </w:p>
    <w:p w:rsidR="00406AEA" w:rsidRDefault="005F0CE3" w:rsidP="00707A99">
      <w:pPr>
        <w:rPr>
          <w:lang w:val="en-US"/>
        </w:rPr>
      </w:pPr>
      <w:r w:rsidRPr="005F0CE3">
        <w:rPr>
          <w:lang w:val="en-US"/>
        </w:rPr>
        <w:t>The basic criterion for evaluation of tenders will be the net cost of execution of the Contract (in EUR).</w:t>
      </w:r>
    </w:p>
    <w:p w:rsidR="005F0CE3" w:rsidRDefault="005F0CE3" w:rsidP="00707A99">
      <w:pPr>
        <w:rPr>
          <w:lang w:val="en-US"/>
        </w:rPr>
      </w:pPr>
    </w:p>
    <w:p w:rsidR="005F0CE3" w:rsidRPr="00B25DD0" w:rsidRDefault="00B25DD0" w:rsidP="00B25DD0">
      <w:pPr>
        <w:pStyle w:val="Akapitzlist"/>
        <w:numPr>
          <w:ilvl w:val="0"/>
          <w:numId w:val="1"/>
        </w:numPr>
        <w:rPr>
          <w:b/>
          <w:lang w:val="en-US"/>
        </w:rPr>
      </w:pPr>
      <w:r w:rsidRPr="00B25DD0">
        <w:rPr>
          <w:b/>
          <w:lang w:val="en-US"/>
        </w:rPr>
        <w:t xml:space="preserve">Other </w:t>
      </w:r>
      <w:r>
        <w:rPr>
          <w:b/>
          <w:lang w:val="en-US"/>
        </w:rPr>
        <w:t>Provisions Concerning the Conditions for Performance of the C</w:t>
      </w:r>
      <w:r w:rsidRPr="00B25DD0">
        <w:rPr>
          <w:b/>
          <w:lang w:val="en-US"/>
        </w:rPr>
        <w:t>ontract</w:t>
      </w:r>
    </w:p>
    <w:p w:rsidR="004331F2" w:rsidRPr="004331F2" w:rsidRDefault="004331F2" w:rsidP="004331F2">
      <w:pPr>
        <w:rPr>
          <w:lang w:val="en-US"/>
        </w:rPr>
      </w:pPr>
      <w:r w:rsidRPr="004331F2">
        <w:rPr>
          <w:lang w:val="en-US"/>
        </w:rPr>
        <w:t xml:space="preserve">1) If two or more tenders with identical prices are submitted in a procedure, the </w:t>
      </w:r>
      <w:r w:rsidR="00BC7851" w:rsidRPr="00FA1E27">
        <w:rPr>
          <w:lang w:val="en-US"/>
        </w:rPr>
        <w:t xml:space="preserve">Contracting </w:t>
      </w:r>
      <w:r w:rsidR="00736FFE">
        <w:rPr>
          <w:lang w:val="en-US"/>
        </w:rPr>
        <w:t xml:space="preserve">Authority </w:t>
      </w:r>
      <w:r w:rsidRPr="004331F2">
        <w:rPr>
          <w:lang w:val="en-US"/>
        </w:rPr>
        <w:t>may ask for additional tenders, however they may not contain higher amounts than those contained in the original tenders.</w:t>
      </w:r>
    </w:p>
    <w:p w:rsidR="004331F2" w:rsidRPr="004331F2" w:rsidRDefault="004331F2" w:rsidP="004331F2">
      <w:pPr>
        <w:rPr>
          <w:lang w:val="en-US"/>
        </w:rPr>
      </w:pPr>
      <w:r w:rsidRPr="004331F2">
        <w:rPr>
          <w:lang w:val="en-US"/>
        </w:rPr>
        <w:t xml:space="preserve">2) </w:t>
      </w:r>
      <w:r w:rsidR="00E92905">
        <w:rPr>
          <w:lang w:val="en-US"/>
        </w:rPr>
        <w:t xml:space="preserve">The </w:t>
      </w:r>
      <w:r w:rsidR="00BC7851">
        <w:rPr>
          <w:lang w:val="en-US"/>
        </w:rPr>
        <w:t>Contractor</w:t>
      </w:r>
      <w:r w:rsidRPr="004331F2">
        <w:rPr>
          <w:lang w:val="en-US"/>
        </w:rPr>
        <w:t xml:space="preserve"> shall remain bound by the tender for 30 days from the tender submission deadline.</w:t>
      </w:r>
    </w:p>
    <w:p w:rsidR="004331F2" w:rsidRPr="004331F2" w:rsidRDefault="004331F2" w:rsidP="004331F2">
      <w:pPr>
        <w:rPr>
          <w:lang w:val="en-US"/>
        </w:rPr>
      </w:pPr>
      <w:r w:rsidRPr="004331F2">
        <w:rPr>
          <w:lang w:val="en-US"/>
        </w:rPr>
        <w:t xml:space="preserve">3) The </w:t>
      </w:r>
      <w:r w:rsidR="00BC7851">
        <w:rPr>
          <w:lang w:val="en-US"/>
        </w:rPr>
        <w:t>Contractor</w:t>
      </w:r>
      <w:r w:rsidRPr="004331F2">
        <w:rPr>
          <w:lang w:val="en-US"/>
        </w:rPr>
        <w:t xml:space="preserve"> shall bear all the costs related to preparing and submitting a tender.</w:t>
      </w:r>
    </w:p>
    <w:p w:rsidR="004331F2" w:rsidRPr="004331F2" w:rsidRDefault="004331F2" w:rsidP="004331F2">
      <w:pPr>
        <w:rPr>
          <w:lang w:val="en-US"/>
        </w:rPr>
      </w:pPr>
      <w:r w:rsidRPr="004331F2">
        <w:rPr>
          <w:lang w:val="en-US"/>
        </w:rPr>
        <w:t>4) A tender shall cover the performance of the entire subject matter of the contract, specified in this invitation to tender.</w:t>
      </w:r>
    </w:p>
    <w:p w:rsidR="004331F2" w:rsidRPr="004331F2" w:rsidRDefault="004331F2" w:rsidP="004331F2">
      <w:pPr>
        <w:rPr>
          <w:lang w:val="en-US"/>
        </w:rPr>
      </w:pPr>
      <w:r w:rsidRPr="004331F2">
        <w:rPr>
          <w:lang w:val="en-US"/>
        </w:rPr>
        <w:t xml:space="preserve">5) The </w:t>
      </w:r>
      <w:r w:rsidR="00BC7851" w:rsidRPr="00FA1E27">
        <w:rPr>
          <w:lang w:val="en-US"/>
        </w:rPr>
        <w:t xml:space="preserve">Contracting </w:t>
      </w:r>
      <w:r w:rsidR="00736FFE">
        <w:rPr>
          <w:lang w:val="en-US"/>
        </w:rPr>
        <w:t xml:space="preserve">Authority </w:t>
      </w:r>
      <w:r w:rsidRPr="004331F2">
        <w:rPr>
          <w:lang w:val="en-US"/>
        </w:rPr>
        <w:t xml:space="preserve">reserves the right to request clarifications to submitted tenders (possibility of sending additional questions </w:t>
      </w:r>
      <w:r w:rsidR="00BC7851">
        <w:rPr>
          <w:lang w:val="en-US"/>
        </w:rPr>
        <w:t>to tenders) and to call Contractors to supplement submitted tenders</w:t>
      </w:r>
      <w:r w:rsidRPr="004331F2">
        <w:rPr>
          <w:lang w:val="en-US"/>
        </w:rPr>
        <w:t>.</w:t>
      </w:r>
    </w:p>
    <w:p w:rsidR="004331F2" w:rsidRPr="004331F2" w:rsidRDefault="004331F2" w:rsidP="004331F2">
      <w:pPr>
        <w:rPr>
          <w:lang w:val="en-US"/>
        </w:rPr>
      </w:pPr>
      <w:r w:rsidRPr="004331F2">
        <w:rPr>
          <w:lang w:val="en-US"/>
        </w:rPr>
        <w:t xml:space="preserve">6) The </w:t>
      </w:r>
      <w:r w:rsidR="00BC7851" w:rsidRPr="00FA1E27">
        <w:rPr>
          <w:lang w:val="en-US"/>
        </w:rPr>
        <w:t xml:space="preserve">Contracting </w:t>
      </w:r>
      <w:r w:rsidR="00736FFE">
        <w:rPr>
          <w:lang w:val="en-US"/>
        </w:rPr>
        <w:t xml:space="preserve">Authority </w:t>
      </w:r>
      <w:r w:rsidRPr="004331F2">
        <w:rPr>
          <w:lang w:val="en-US"/>
        </w:rPr>
        <w:t xml:space="preserve">reserves the right to reply only to a selected tender and to withdraw from the selection of a tender without giving any reason. In such a case, the </w:t>
      </w:r>
      <w:r w:rsidR="00BC7851">
        <w:rPr>
          <w:lang w:val="en-US"/>
        </w:rPr>
        <w:t>Contractor</w:t>
      </w:r>
      <w:r w:rsidRPr="004331F2">
        <w:rPr>
          <w:lang w:val="en-US"/>
        </w:rPr>
        <w:t xml:space="preserve"> shall not be entitled to any compensation or claim, in particular for preparing tenders. </w:t>
      </w:r>
    </w:p>
    <w:p w:rsidR="004331F2" w:rsidRPr="004331F2" w:rsidRDefault="004331F2" w:rsidP="004331F2">
      <w:pPr>
        <w:rPr>
          <w:lang w:val="en-US"/>
        </w:rPr>
      </w:pPr>
      <w:r w:rsidRPr="004331F2">
        <w:rPr>
          <w:lang w:val="en-US"/>
        </w:rPr>
        <w:t xml:space="preserve">7) </w:t>
      </w:r>
      <w:r w:rsidR="00BC7851" w:rsidRPr="00BC7851">
        <w:rPr>
          <w:lang w:val="en-US"/>
        </w:rPr>
        <w:t xml:space="preserve">The </w:t>
      </w:r>
      <w:r w:rsidR="00BC7851" w:rsidRPr="00FA1E27">
        <w:rPr>
          <w:lang w:val="en-US"/>
        </w:rPr>
        <w:t xml:space="preserve">Contracting </w:t>
      </w:r>
      <w:r w:rsidR="00736FFE">
        <w:rPr>
          <w:lang w:val="en-US"/>
        </w:rPr>
        <w:t xml:space="preserve">Authority </w:t>
      </w:r>
      <w:r w:rsidR="00BC7851" w:rsidRPr="00BC7851">
        <w:rPr>
          <w:lang w:val="en-US"/>
        </w:rPr>
        <w:t xml:space="preserve">reserves the right to reject a tender when the tender fails to meet the requirements specified in the invitation to tender in question or when the </w:t>
      </w:r>
      <w:r w:rsidR="00BC7851">
        <w:rPr>
          <w:lang w:val="en-US"/>
        </w:rPr>
        <w:t>Contractor</w:t>
      </w:r>
      <w:r w:rsidR="00BC7851" w:rsidRPr="00BC7851">
        <w:rPr>
          <w:lang w:val="en-US"/>
        </w:rPr>
        <w:t xml:space="preserve"> fails to demonstrate that </w:t>
      </w:r>
      <w:r w:rsidR="00E92905">
        <w:rPr>
          <w:lang w:val="en-US"/>
        </w:rPr>
        <w:t>it</w:t>
      </w:r>
      <w:r w:rsidR="00BC7851" w:rsidRPr="00BC7851">
        <w:rPr>
          <w:lang w:val="en-US"/>
        </w:rPr>
        <w:t xml:space="preserve"> meets the conditions of participation in the procedure.</w:t>
      </w:r>
    </w:p>
    <w:p w:rsidR="004331F2" w:rsidRPr="004331F2" w:rsidRDefault="004331F2" w:rsidP="004331F2">
      <w:pPr>
        <w:rPr>
          <w:lang w:val="en-US"/>
        </w:rPr>
      </w:pPr>
      <w:r w:rsidRPr="004331F2">
        <w:rPr>
          <w:lang w:val="en-US"/>
        </w:rPr>
        <w:t xml:space="preserve">8) The </w:t>
      </w:r>
      <w:r w:rsidR="00FA1E27" w:rsidRPr="00FA1E27">
        <w:rPr>
          <w:lang w:val="en-US"/>
        </w:rPr>
        <w:t xml:space="preserve">Contracting </w:t>
      </w:r>
      <w:r w:rsidR="00736FFE">
        <w:rPr>
          <w:lang w:val="en-US"/>
        </w:rPr>
        <w:t xml:space="preserve">Authority </w:t>
      </w:r>
      <w:r w:rsidRPr="004331F2">
        <w:rPr>
          <w:lang w:val="en-US"/>
        </w:rPr>
        <w:t xml:space="preserve">reserves the right to negotiate the contract with the selected </w:t>
      </w:r>
      <w:r w:rsidR="00FA1E27">
        <w:rPr>
          <w:lang w:val="en-US"/>
        </w:rPr>
        <w:t>Contractor</w:t>
      </w:r>
      <w:r w:rsidRPr="004331F2">
        <w:rPr>
          <w:lang w:val="en-US"/>
        </w:rPr>
        <w:t>.</w:t>
      </w:r>
    </w:p>
    <w:p w:rsidR="004331F2" w:rsidRPr="004331F2" w:rsidRDefault="004331F2" w:rsidP="004331F2">
      <w:pPr>
        <w:rPr>
          <w:lang w:val="en-US"/>
        </w:rPr>
      </w:pPr>
      <w:r w:rsidRPr="004331F2">
        <w:rPr>
          <w:lang w:val="en-US"/>
        </w:rPr>
        <w:t xml:space="preserve">9) The final selected </w:t>
      </w:r>
      <w:r w:rsidR="00FA1E27">
        <w:rPr>
          <w:lang w:val="en-US"/>
        </w:rPr>
        <w:t>Contractor</w:t>
      </w:r>
      <w:r w:rsidRPr="004331F2">
        <w:rPr>
          <w:lang w:val="en-US"/>
        </w:rPr>
        <w:t xml:space="preserve"> will </w:t>
      </w:r>
      <w:r w:rsidR="00FA1E27">
        <w:rPr>
          <w:lang w:val="en-US"/>
        </w:rPr>
        <w:t>sign  a c</w:t>
      </w:r>
      <w:r w:rsidRPr="004331F2">
        <w:rPr>
          <w:lang w:val="en-US"/>
        </w:rPr>
        <w:t xml:space="preserve">ontract with the contents agreed between the </w:t>
      </w:r>
      <w:r w:rsidR="00FA1E27" w:rsidRPr="00FA1E27">
        <w:rPr>
          <w:lang w:val="en-US"/>
        </w:rPr>
        <w:t xml:space="preserve">Contracting </w:t>
      </w:r>
      <w:r w:rsidR="00736FFE">
        <w:rPr>
          <w:lang w:val="en-US"/>
        </w:rPr>
        <w:t xml:space="preserve">Authority </w:t>
      </w:r>
      <w:r w:rsidR="00FA1E27">
        <w:rPr>
          <w:lang w:val="en-US"/>
        </w:rPr>
        <w:t>and the Cont</w:t>
      </w:r>
      <w:r w:rsidRPr="004331F2">
        <w:rPr>
          <w:lang w:val="en-US"/>
        </w:rPr>
        <w:t>ra</w:t>
      </w:r>
      <w:r w:rsidR="00FA1E27">
        <w:rPr>
          <w:lang w:val="en-US"/>
        </w:rPr>
        <w:t>c</w:t>
      </w:r>
      <w:r w:rsidRPr="004331F2">
        <w:rPr>
          <w:lang w:val="en-US"/>
        </w:rPr>
        <w:t xml:space="preserve">tor. The contract will include provisions on contractual penalties and transfer of copyrights to the works carried out as part of the contract. The </w:t>
      </w:r>
      <w:r w:rsidR="00FA1E27" w:rsidRPr="00FA1E27">
        <w:rPr>
          <w:lang w:val="en-US"/>
        </w:rPr>
        <w:t xml:space="preserve">Contracting </w:t>
      </w:r>
      <w:r w:rsidR="00736FFE">
        <w:rPr>
          <w:lang w:val="en-US"/>
        </w:rPr>
        <w:t xml:space="preserve">Authority </w:t>
      </w:r>
      <w:r w:rsidRPr="004331F2">
        <w:rPr>
          <w:lang w:val="en-US"/>
        </w:rPr>
        <w:t xml:space="preserve">shall conclude contracts based on its own specimen contracts used by the </w:t>
      </w:r>
      <w:r w:rsidR="00FA1E27" w:rsidRPr="00FA1E27">
        <w:rPr>
          <w:lang w:val="en-US"/>
        </w:rPr>
        <w:t>Contracting</w:t>
      </w:r>
      <w:r w:rsidR="00736FFE">
        <w:rPr>
          <w:lang w:val="en-US"/>
        </w:rPr>
        <w:t xml:space="preserve"> Authority</w:t>
      </w:r>
      <w:r w:rsidRPr="00FA1E27">
        <w:rPr>
          <w:lang w:val="en-US"/>
        </w:rPr>
        <w:t>.</w:t>
      </w:r>
    </w:p>
    <w:p w:rsidR="00B25DD0" w:rsidRDefault="004331F2" w:rsidP="004331F2">
      <w:pPr>
        <w:rPr>
          <w:lang w:val="en-US"/>
        </w:rPr>
      </w:pPr>
      <w:r w:rsidRPr="004331F2">
        <w:rPr>
          <w:lang w:val="en-US"/>
        </w:rPr>
        <w:t>10) The remuneration shall be paid in two instalments.</w:t>
      </w:r>
    </w:p>
    <w:p w:rsidR="004331F2" w:rsidRDefault="004331F2" w:rsidP="004331F2">
      <w:pPr>
        <w:rPr>
          <w:lang w:val="en-US"/>
        </w:rPr>
      </w:pPr>
    </w:p>
    <w:p w:rsidR="004331F2" w:rsidRPr="004331F2" w:rsidRDefault="004331F2" w:rsidP="004331F2">
      <w:pPr>
        <w:pStyle w:val="Akapitzlist"/>
        <w:numPr>
          <w:ilvl w:val="0"/>
          <w:numId w:val="1"/>
        </w:numPr>
        <w:rPr>
          <w:b/>
          <w:lang w:val="en-US"/>
        </w:rPr>
      </w:pPr>
      <w:r w:rsidRPr="004331F2">
        <w:rPr>
          <w:b/>
          <w:lang w:val="en-US"/>
        </w:rPr>
        <w:lastRenderedPageBreak/>
        <w:t>Authorised Contact P</w:t>
      </w:r>
      <w:r>
        <w:rPr>
          <w:b/>
          <w:lang w:val="en-US"/>
        </w:rPr>
        <w:t>ersons o</w:t>
      </w:r>
      <w:r w:rsidR="00E92905">
        <w:rPr>
          <w:b/>
          <w:lang w:val="en-US"/>
        </w:rPr>
        <w:t>f</w:t>
      </w:r>
      <w:r>
        <w:rPr>
          <w:b/>
          <w:lang w:val="en-US"/>
        </w:rPr>
        <w:t xml:space="preserve"> the</w:t>
      </w:r>
      <w:r w:rsidRPr="004331F2">
        <w:rPr>
          <w:b/>
          <w:lang w:val="en-US"/>
        </w:rPr>
        <w:t xml:space="preserve"> Contracting </w:t>
      </w:r>
      <w:r w:rsidR="00736FFE">
        <w:rPr>
          <w:b/>
          <w:lang w:val="en-US"/>
        </w:rPr>
        <w:t>Authority</w:t>
      </w:r>
    </w:p>
    <w:p w:rsidR="004331F2" w:rsidRPr="00B02C22" w:rsidRDefault="00B02C22" w:rsidP="004331F2">
      <w:pPr>
        <w:rPr>
          <w:b/>
          <w:lang w:val="en-US"/>
        </w:rPr>
      </w:pPr>
      <w:r w:rsidRPr="00B02C22">
        <w:rPr>
          <w:b/>
          <w:lang w:val="en-US"/>
        </w:rPr>
        <w:t>Paweł Krzymiński, Wiktor Sęga</w:t>
      </w:r>
    </w:p>
    <w:p w:rsidR="0006018C" w:rsidRDefault="0006018C" w:rsidP="004331F2">
      <w:pPr>
        <w:rPr>
          <w:b/>
          <w:lang w:val="en-US"/>
        </w:rPr>
      </w:pPr>
    </w:p>
    <w:p w:rsidR="004331F2" w:rsidRDefault="0006018C" w:rsidP="0006018C">
      <w:pPr>
        <w:pStyle w:val="Akapitzlist"/>
        <w:numPr>
          <w:ilvl w:val="0"/>
          <w:numId w:val="1"/>
        </w:numPr>
        <w:rPr>
          <w:b/>
          <w:lang w:val="en-US"/>
        </w:rPr>
      </w:pPr>
      <w:r w:rsidRPr="0006018C">
        <w:rPr>
          <w:b/>
          <w:lang w:val="en-US"/>
        </w:rPr>
        <w:t>How to Prepare and Submit a Tender</w:t>
      </w:r>
    </w:p>
    <w:p w:rsidR="0006018C" w:rsidRPr="0006018C" w:rsidRDefault="0006018C" w:rsidP="0006018C">
      <w:pPr>
        <w:pStyle w:val="Akapitzlist"/>
        <w:rPr>
          <w:b/>
          <w:lang w:val="en-US"/>
        </w:rPr>
      </w:pPr>
    </w:p>
    <w:p w:rsidR="0006018C" w:rsidRPr="0006018C" w:rsidRDefault="0006018C" w:rsidP="0006018C">
      <w:pPr>
        <w:rPr>
          <w:lang w:val="en-US"/>
        </w:rPr>
      </w:pPr>
      <w:r w:rsidRPr="0006018C">
        <w:rPr>
          <w:lang w:val="en-US"/>
        </w:rPr>
        <w:t xml:space="preserve">The </w:t>
      </w:r>
      <w:r w:rsidR="000C13B8">
        <w:rPr>
          <w:lang w:val="en-US"/>
        </w:rPr>
        <w:t xml:space="preserve">tender </w:t>
      </w:r>
      <w:r w:rsidRPr="0006018C">
        <w:rPr>
          <w:lang w:val="en-US"/>
        </w:rPr>
        <w:t>should be prepared accord</w:t>
      </w:r>
      <w:r w:rsidR="00FA1E27">
        <w:rPr>
          <w:lang w:val="en-US"/>
        </w:rPr>
        <w:t>ing to the</w:t>
      </w:r>
      <w:r w:rsidR="000C13B8">
        <w:rPr>
          <w:lang w:val="en-US"/>
        </w:rPr>
        <w:t xml:space="preserve"> </w:t>
      </w:r>
      <w:r w:rsidR="00736FFE">
        <w:rPr>
          <w:lang w:val="en-US"/>
        </w:rPr>
        <w:t>model form specified i</w:t>
      </w:r>
      <w:r w:rsidR="000C13B8">
        <w:rPr>
          <w:lang w:val="en-US"/>
        </w:rPr>
        <w:t>n</w:t>
      </w:r>
      <w:r w:rsidRPr="0006018C">
        <w:rPr>
          <w:lang w:val="en-US"/>
        </w:rPr>
        <w:t xml:space="preserve"> Appendix No. 1. </w:t>
      </w:r>
    </w:p>
    <w:p w:rsidR="0006018C" w:rsidRPr="0006018C" w:rsidRDefault="0006018C" w:rsidP="0006018C">
      <w:pPr>
        <w:rPr>
          <w:lang w:val="en-US"/>
        </w:rPr>
      </w:pPr>
      <w:r w:rsidRPr="0006018C">
        <w:rPr>
          <w:lang w:val="en-US"/>
        </w:rPr>
        <w:t xml:space="preserve">The </w:t>
      </w:r>
      <w:r w:rsidR="000C13B8">
        <w:rPr>
          <w:lang w:val="en-US"/>
        </w:rPr>
        <w:t xml:space="preserve">tender </w:t>
      </w:r>
      <w:r w:rsidRPr="0006018C">
        <w:rPr>
          <w:lang w:val="en-US"/>
        </w:rPr>
        <w:t>shall include a list of services rendered together with documents (references) confirming due performance of services.</w:t>
      </w:r>
    </w:p>
    <w:p w:rsidR="0006018C" w:rsidRPr="0006018C" w:rsidRDefault="0006018C" w:rsidP="0006018C">
      <w:pPr>
        <w:rPr>
          <w:lang w:val="en-US"/>
        </w:rPr>
      </w:pPr>
      <w:r w:rsidRPr="0006018C">
        <w:rPr>
          <w:lang w:val="en-US"/>
        </w:rPr>
        <w:t xml:space="preserve">The tender must be signed by a person authorized to represent the </w:t>
      </w:r>
      <w:r w:rsidR="00FA1E27">
        <w:rPr>
          <w:lang w:val="en-US"/>
        </w:rPr>
        <w:t>Contractor</w:t>
      </w:r>
      <w:r w:rsidRPr="0006018C">
        <w:rPr>
          <w:lang w:val="en-US"/>
        </w:rPr>
        <w:t>.</w:t>
      </w:r>
    </w:p>
    <w:p w:rsidR="0006018C" w:rsidRPr="0006018C" w:rsidRDefault="0006018C" w:rsidP="0006018C">
      <w:pPr>
        <w:rPr>
          <w:lang w:val="en-US"/>
        </w:rPr>
      </w:pPr>
      <w:r w:rsidRPr="0006018C">
        <w:rPr>
          <w:lang w:val="en-US"/>
        </w:rPr>
        <w:t xml:space="preserve">The </w:t>
      </w:r>
      <w:r w:rsidR="000C13B8">
        <w:rPr>
          <w:lang w:val="en-US"/>
        </w:rPr>
        <w:t xml:space="preserve">tender </w:t>
      </w:r>
      <w:r w:rsidRPr="0006018C">
        <w:rPr>
          <w:lang w:val="en-US"/>
        </w:rPr>
        <w:t xml:space="preserve">should be sent as a </w:t>
      </w:r>
      <w:r w:rsidR="00BE27B1" w:rsidRPr="002328EF">
        <w:rPr>
          <w:b/>
          <w:u w:val="single"/>
          <w:lang w:val="en-US"/>
        </w:rPr>
        <w:t>scan</w:t>
      </w:r>
      <w:r w:rsidRPr="0006018C">
        <w:rPr>
          <w:lang w:val="en-US"/>
        </w:rPr>
        <w:t xml:space="preserve">, to the Office of Electronic Communications, electronically to the </w:t>
      </w:r>
      <w:r w:rsidRPr="00B02C22">
        <w:rPr>
          <w:lang w:val="en-US"/>
        </w:rPr>
        <w:t xml:space="preserve">address: e-mail: </w:t>
      </w:r>
      <w:hyperlink r:id="rId6" w:history="1">
        <w:r w:rsidR="00244D8D" w:rsidRPr="00FC1DCD">
          <w:rPr>
            <w:rStyle w:val="Hipercze"/>
            <w:b/>
            <w:lang w:val="en-US"/>
          </w:rPr>
          <w:t>sekretariat.dc@uke.gov.pl</w:t>
        </w:r>
      </w:hyperlink>
      <w:r w:rsidR="00244D8D" w:rsidRPr="00244D8D">
        <w:rPr>
          <w:b/>
          <w:lang w:val="en-US"/>
        </w:rPr>
        <w:t xml:space="preserve"> </w:t>
      </w:r>
      <w:r w:rsidRPr="00B02C22">
        <w:rPr>
          <w:lang w:val="en-US"/>
        </w:rPr>
        <w:t xml:space="preserve">within the deadline of </w:t>
      </w:r>
      <w:r w:rsidR="00B02C22" w:rsidRPr="00F77566">
        <w:rPr>
          <w:b/>
          <w:u w:val="single"/>
          <w:lang w:val="en-US"/>
        </w:rPr>
        <w:t>31</w:t>
      </w:r>
      <w:r w:rsidR="00B02C22" w:rsidRPr="00F77566">
        <w:rPr>
          <w:b/>
          <w:u w:val="single"/>
          <w:vertAlign w:val="superscript"/>
          <w:lang w:val="en-US"/>
        </w:rPr>
        <w:t>st</w:t>
      </w:r>
      <w:r w:rsidR="00B02C22" w:rsidRPr="00F77566">
        <w:rPr>
          <w:b/>
          <w:u w:val="single"/>
          <w:lang w:val="en-US"/>
        </w:rPr>
        <w:t xml:space="preserve"> March </w:t>
      </w:r>
      <w:r w:rsidRPr="00F77566">
        <w:rPr>
          <w:b/>
          <w:u w:val="single"/>
          <w:lang w:val="en-US"/>
        </w:rPr>
        <w:t>2021 until 12:00</w:t>
      </w:r>
      <w:r w:rsidRPr="0006018C">
        <w:rPr>
          <w:lang w:val="en-US"/>
        </w:rPr>
        <w:t>.</w:t>
      </w:r>
    </w:p>
    <w:p w:rsidR="004331F2" w:rsidRPr="00B25DD0" w:rsidRDefault="004331F2" w:rsidP="004331F2">
      <w:pPr>
        <w:rPr>
          <w:lang w:val="en-US"/>
        </w:rPr>
      </w:pPr>
    </w:p>
    <w:sectPr w:rsidR="004331F2" w:rsidRPr="00B25DD0" w:rsidSect="009E7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4C55"/>
    <w:multiLevelType w:val="multilevel"/>
    <w:tmpl w:val="DB10AC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8827A1"/>
    <w:multiLevelType w:val="multilevel"/>
    <w:tmpl w:val="DB10AC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D30A16"/>
    <w:rsid w:val="0006018C"/>
    <w:rsid w:val="00091E9B"/>
    <w:rsid w:val="000C13B8"/>
    <w:rsid w:val="00212887"/>
    <w:rsid w:val="002325CB"/>
    <w:rsid w:val="002328EF"/>
    <w:rsid w:val="00244D8D"/>
    <w:rsid w:val="002462FE"/>
    <w:rsid w:val="00267236"/>
    <w:rsid w:val="003560B3"/>
    <w:rsid w:val="00406AEA"/>
    <w:rsid w:val="004331F2"/>
    <w:rsid w:val="004D3D5E"/>
    <w:rsid w:val="00590D87"/>
    <w:rsid w:val="0059405D"/>
    <w:rsid w:val="005F0CE3"/>
    <w:rsid w:val="00706CF4"/>
    <w:rsid w:val="00707A99"/>
    <w:rsid w:val="00731A86"/>
    <w:rsid w:val="00736FFE"/>
    <w:rsid w:val="007C3B8C"/>
    <w:rsid w:val="00837BC0"/>
    <w:rsid w:val="008A6F7A"/>
    <w:rsid w:val="008D5E53"/>
    <w:rsid w:val="00954976"/>
    <w:rsid w:val="009E702E"/>
    <w:rsid w:val="00A23790"/>
    <w:rsid w:val="00A31CD0"/>
    <w:rsid w:val="00AE1EB0"/>
    <w:rsid w:val="00B02C22"/>
    <w:rsid w:val="00B25DD0"/>
    <w:rsid w:val="00B30553"/>
    <w:rsid w:val="00B4591D"/>
    <w:rsid w:val="00B62246"/>
    <w:rsid w:val="00B758D8"/>
    <w:rsid w:val="00B905CB"/>
    <w:rsid w:val="00BC7851"/>
    <w:rsid w:val="00BE27B1"/>
    <w:rsid w:val="00C83454"/>
    <w:rsid w:val="00C87E2C"/>
    <w:rsid w:val="00D30A16"/>
    <w:rsid w:val="00DB163C"/>
    <w:rsid w:val="00DC1D6E"/>
    <w:rsid w:val="00E92905"/>
    <w:rsid w:val="00F77566"/>
    <w:rsid w:val="00FA1E27"/>
    <w:rsid w:val="00FA5EEF"/>
    <w:rsid w:val="00FB4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0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D87"/>
    <w:pPr>
      <w:ind w:left="720"/>
      <w:contextualSpacing/>
    </w:pPr>
  </w:style>
  <w:style w:type="paragraph" w:styleId="Tekstdymka">
    <w:name w:val="Balloon Text"/>
    <w:basedOn w:val="Normalny"/>
    <w:link w:val="TekstdymkaZnak"/>
    <w:uiPriority w:val="99"/>
    <w:semiHidden/>
    <w:unhideWhenUsed/>
    <w:rsid w:val="00731A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A86"/>
    <w:rPr>
      <w:rFonts w:ascii="Segoe UI" w:hAnsi="Segoe UI" w:cs="Segoe UI"/>
      <w:sz w:val="18"/>
      <w:szCs w:val="18"/>
    </w:rPr>
  </w:style>
  <w:style w:type="character" w:styleId="Odwoaniedokomentarza">
    <w:name w:val="annotation reference"/>
    <w:basedOn w:val="Domylnaczcionkaakapitu"/>
    <w:uiPriority w:val="99"/>
    <w:semiHidden/>
    <w:unhideWhenUsed/>
    <w:rsid w:val="00B62246"/>
    <w:rPr>
      <w:sz w:val="16"/>
      <w:szCs w:val="16"/>
    </w:rPr>
  </w:style>
  <w:style w:type="paragraph" w:styleId="Tekstkomentarza">
    <w:name w:val="annotation text"/>
    <w:basedOn w:val="Normalny"/>
    <w:link w:val="TekstkomentarzaZnak"/>
    <w:uiPriority w:val="99"/>
    <w:semiHidden/>
    <w:unhideWhenUsed/>
    <w:rsid w:val="00B622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2246"/>
    <w:rPr>
      <w:sz w:val="20"/>
      <w:szCs w:val="20"/>
    </w:rPr>
  </w:style>
  <w:style w:type="paragraph" w:styleId="Tematkomentarza">
    <w:name w:val="annotation subject"/>
    <w:basedOn w:val="Tekstkomentarza"/>
    <w:next w:val="Tekstkomentarza"/>
    <w:link w:val="TematkomentarzaZnak"/>
    <w:uiPriority w:val="99"/>
    <w:semiHidden/>
    <w:unhideWhenUsed/>
    <w:rsid w:val="00B62246"/>
    <w:rPr>
      <w:b/>
      <w:bCs/>
    </w:rPr>
  </w:style>
  <w:style w:type="character" w:customStyle="1" w:styleId="TematkomentarzaZnak">
    <w:name w:val="Temat komentarza Znak"/>
    <w:basedOn w:val="TekstkomentarzaZnak"/>
    <w:link w:val="Tematkomentarza"/>
    <w:uiPriority w:val="99"/>
    <w:semiHidden/>
    <w:rsid w:val="00B62246"/>
    <w:rPr>
      <w:b/>
      <w:bCs/>
      <w:sz w:val="20"/>
      <w:szCs w:val="20"/>
    </w:rPr>
  </w:style>
  <w:style w:type="character" w:styleId="Hipercze">
    <w:name w:val="Hyperlink"/>
    <w:basedOn w:val="Domylnaczcionkaakapitu"/>
    <w:uiPriority w:val="99"/>
    <w:unhideWhenUsed/>
    <w:rsid w:val="00244D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dc@uke.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6B889-766F-49A5-8D5F-4B464755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Sega</dc:creator>
  <cp:lastModifiedBy>Piotr Kisiel</cp:lastModifiedBy>
  <cp:revision>4</cp:revision>
  <dcterms:created xsi:type="dcterms:W3CDTF">2021-03-23T15:45:00Z</dcterms:created>
  <dcterms:modified xsi:type="dcterms:W3CDTF">2021-03-24T09:29:00Z</dcterms:modified>
</cp:coreProperties>
</file>