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27" w:rsidRPr="00E86161" w:rsidRDefault="005036B8" w:rsidP="0076709D">
      <w:pPr>
        <w:spacing w:after="0"/>
        <w:jc w:val="both"/>
        <w:rPr>
          <w:rFonts w:ascii="Calibri Light" w:hAnsi="Calibri Light"/>
          <w:b/>
          <w:sz w:val="36"/>
          <w:szCs w:val="36"/>
        </w:rPr>
      </w:pPr>
      <w:bookmarkStart w:id="0" w:name="_GoBack"/>
      <w:bookmarkEnd w:id="0"/>
      <w:r>
        <w:rPr>
          <w:rFonts w:ascii="Calibri Light" w:hAnsi="Calibri Light"/>
          <w:b/>
          <w:noProof/>
          <w:sz w:val="36"/>
          <w:szCs w:val="36"/>
        </w:rPr>
        <w:pict>
          <v:rect id="Rectangle 2" o:spid="_x0000_s1026" style="position:absolute;left:0;text-align:left;margin-left:-77.6pt;margin-top:21.3pt;width:633.15pt;height:1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" fillcolor="#bfcc25" stroked="f">
            <v:textbox>
              <w:txbxContent>
                <w:p w:rsidR="00A564B1" w:rsidRDefault="00A564B1" w:rsidP="00A564B1">
                  <w:pPr>
                    <w:spacing w:before="120" w:after="12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4B1">
                    <w:rPr>
                      <w:b/>
                      <w:sz w:val="32"/>
                      <w:szCs w:val="32"/>
                    </w:rPr>
                    <w:t xml:space="preserve">Wyciąg z Zasad dostępu hurtowego do sieci zrealizowanych w ramach II-go </w:t>
                  </w:r>
                </w:p>
                <w:p w:rsidR="00A564B1" w:rsidRDefault="00A564B1" w:rsidP="00A564B1">
                  <w:pPr>
                    <w:spacing w:before="120" w:after="12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4B1">
                    <w:rPr>
                      <w:b/>
                      <w:sz w:val="32"/>
                      <w:szCs w:val="32"/>
                    </w:rPr>
                    <w:t>konkursu w ramach działania 1.1 POPC dla gospodarstw domowych</w:t>
                  </w:r>
                  <w:r>
                    <w:rPr>
                      <w:b/>
                      <w:sz w:val="32"/>
                      <w:szCs w:val="32"/>
                    </w:rPr>
                    <w:t xml:space="preserve"> -</w:t>
                  </w:r>
                </w:p>
                <w:p w:rsidR="0094362F" w:rsidRPr="00A564B1" w:rsidRDefault="00A564B1" w:rsidP="00A564B1">
                  <w:pPr>
                    <w:spacing w:before="120" w:after="120" w:line="240" w:lineRule="auto"/>
                    <w:jc w:val="center"/>
                    <w:rPr>
                      <w:color w:val="4A4A49"/>
                      <w:sz w:val="24"/>
                      <w:szCs w:val="24"/>
                    </w:rPr>
                  </w:pPr>
                  <w:r w:rsidRPr="00A564B1">
                    <w:rPr>
                      <w:b/>
                      <w:sz w:val="24"/>
                      <w:szCs w:val="24"/>
                    </w:rPr>
                    <w:t>zasady przeprowadzania testu MS</w:t>
                  </w:r>
                </w:p>
                <w:p w:rsidR="0094362F" w:rsidRPr="00774F18" w:rsidRDefault="0094362F" w:rsidP="00774F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25827" w:rsidRPr="00E86161" w:rsidRDefault="00325827" w:rsidP="0076709D">
      <w:pPr>
        <w:spacing w:after="0"/>
        <w:jc w:val="both"/>
        <w:rPr>
          <w:rFonts w:ascii="Calibri Light" w:hAnsi="Calibri Light"/>
          <w:b/>
          <w:sz w:val="28"/>
          <w:szCs w:val="28"/>
        </w:rPr>
      </w:pPr>
    </w:p>
    <w:p w:rsidR="001B771A" w:rsidRPr="00E86161" w:rsidRDefault="001B771A" w:rsidP="00856092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/>
          <w:b/>
          <w:sz w:val="24"/>
          <w:szCs w:val="24"/>
        </w:rPr>
      </w:pPr>
    </w:p>
    <w:p w:rsidR="001B771A" w:rsidRPr="00E86161" w:rsidRDefault="001B771A" w:rsidP="001B771A">
      <w:pPr>
        <w:pStyle w:val="Akapitzlist"/>
        <w:spacing w:after="0"/>
        <w:jc w:val="both"/>
        <w:rPr>
          <w:rFonts w:ascii="Calibri Light" w:hAnsi="Calibri Light"/>
          <w:b/>
          <w:sz w:val="24"/>
          <w:szCs w:val="24"/>
        </w:rPr>
      </w:pPr>
    </w:p>
    <w:p w:rsidR="006540FA" w:rsidRPr="006540FA" w:rsidRDefault="00774F18" w:rsidP="006540FA">
      <w:pPr>
        <w:suppressAutoHyphens/>
        <w:spacing w:before="120" w:after="0" w:line="240" w:lineRule="auto"/>
        <w:rPr>
          <w:rFonts w:ascii="Calibri Light" w:eastAsiaTheme="majorEastAsia" w:hAnsi="Calibri Light" w:cstheme="majorBidi"/>
          <w:sz w:val="23"/>
          <w:szCs w:val="23"/>
          <w:lang w:eastAsia="en-US"/>
        </w:rPr>
      </w:pPr>
      <w:r w:rsidRPr="006540FA">
        <w:rPr>
          <w:rFonts w:ascii="Calibri Light" w:hAnsi="Calibri Light"/>
          <w:b/>
          <w:bCs/>
          <w:sz w:val="23"/>
          <w:szCs w:val="23"/>
        </w:rPr>
        <w:br w:type="page"/>
      </w:r>
      <w:bookmarkStart w:id="1" w:name="_Toc494796617"/>
      <w:r w:rsidR="006540FA" w:rsidRPr="006540FA">
        <w:rPr>
          <w:rFonts w:ascii="Calibri Light" w:hAnsi="Calibri Light"/>
          <w:sz w:val="23"/>
          <w:szCs w:val="23"/>
        </w:rPr>
        <w:lastRenderedPageBreak/>
        <w:t xml:space="preserve">Pojęcia niezdefiniowane w niniejszym dokumencie należy rozumieć zgodnie ze znaczeniem nadanym w „Wymaganiach dla sieci </w:t>
      </w:r>
      <w:proofErr w:type="spellStart"/>
      <w:r w:rsidR="006540FA" w:rsidRPr="006540FA">
        <w:rPr>
          <w:rFonts w:ascii="Calibri Light" w:hAnsi="Calibri Light"/>
          <w:sz w:val="23"/>
          <w:szCs w:val="23"/>
        </w:rPr>
        <w:t>NGA-POPC</w:t>
      </w:r>
      <w:proofErr w:type="spellEnd"/>
      <w:r w:rsidR="006540FA" w:rsidRPr="006540FA">
        <w:rPr>
          <w:rFonts w:ascii="Calibri Light" w:hAnsi="Calibri Light"/>
          <w:sz w:val="23"/>
          <w:szCs w:val="23"/>
        </w:rPr>
        <w:t>”</w:t>
      </w:r>
      <w:r w:rsidR="006540FA" w:rsidRPr="006540FA">
        <w:rPr>
          <w:vertAlign w:val="superscript"/>
        </w:rPr>
        <w:footnoteReference w:id="1"/>
      </w:r>
      <w:r w:rsidR="006540FA" w:rsidRPr="006540FA">
        <w:rPr>
          <w:rFonts w:ascii="Calibri Light" w:hAnsi="Calibri Light"/>
          <w:sz w:val="23"/>
          <w:szCs w:val="23"/>
        </w:rPr>
        <w:t>.</w:t>
      </w:r>
    </w:p>
    <w:p w:rsidR="00715867" w:rsidRPr="00AF4616" w:rsidRDefault="00715867" w:rsidP="00856092">
      <w:pPr>
        <w:pStyle w:val="Nagwek2"/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Calibri Light" w:hAnsi="Calibri Light"/>
          <w:bCs w:val="0"/>
          <w:color w:val="auto"/>
          <w:sz w:val="23"/>
          <w:szCs w:val="23"/>
        </w:rPr>
      </w:pPr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Zasady przeprowadzenia testu </w:t>
      </w:r>
      <w:bookmarkEnd w:id="1"/>
      <w:proofErr w:type="spellStart"/>
      <w:r w:rsidRPr="00AF4616">
        <w:rPr>
          <w:rFonts w:ascii="Calibri Light" w:hAnsi="Calibri Light"/>
          <w:bCs w:val="0"/>
          <w:color w:val="auto"/>
          <w:sz w:val="23"/>
          <w:szCs w:val="23"/>
        </w:rPr>
        <w:t>Margin</w:t>
      </w:r>
      <w:proofErr w:type="spellEnd"/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 </w:t>
      </w:r>
      <w:proofErr w:type="spellStart"/>
      <w:r w:rsidRPr="00AF4616">
        <w:rPr>
          <w:rFonts w:ascii="Calibri Light" w:hAnsi="Calibri Light"/>
          <w:bCs w:val="0"/>
          <w:color w:val="auto"/>
          <w:sz w:val="23"/>
          <w:szCs w:val="23"/>
        </w:rPr>
        <w:t>Squeeze</w:t>
      </w:r>
      <w:proofErr w:type="spellEnd"/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 (Test MS)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Celem Testu MS jest weryfikacja, czy opłaty za usługi hurtowe kształtują się na poziomie pozwalającym OK na stworzenie na ich podstawie konkurencyjnej usługi detalicznej w stosunku usługi detalicznej OSD. Testy MS są przeprowadzane z wykorzystaniem narzędzia opartego na danych pochodzących od OSD.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Model analityczny ma na celu stwierdzenie, czy dana kombinacja usługi detalicznych i usług hurtowych OSD nie stanowi zagrożenia dla OK w rozumieniu zjawiska zawężania marży.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Test MS przeprowadza OSD przy zastosowaniu aplikacji, tj. modelu analitycznego udostępnionego przez Prezesa UKE.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ind w:left="363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Test MS będzie przeprowadzany dla następujących usług regulowanych:</w:t>
      </w:r>
    </w:p>
    <w:p w:rsidR="00715867" w:rsidRPr="00AF4616" w:rsidRDefault="00715867" w:rsidP="00856092">
      <w:pPr>
        <w:pStyle w:val="Akapitzlist"/>
        <w:numPr>
          <w:ilvl w:val="1"/>
          <w:numId w:val="8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Usługi BSA z uwzględnieniem oferowanych</w:t>
      </w:r>
      <w:r w:rsidR="006540FA">
        <w:rPr>
          <w:rFonts w:ascii="Calibri Light" w:hAnsi="Calibri Light"/>
          <w:sz w:val="23"/>
          <w:szCs w:val="23"/>
        </w:rPr>
        <w:t xml:space="preserve"> poziomów dostępu (Ethernet, IP </w:t>
      </w:r>
      <w:r w:rsidRPr="00AF4616">
        <w:rPr>
          <w:rFonts w:ascii="Calibri Light" w:hAnsi="Calibri Light"/>
          <w:sz w:val="23"/>
          <w:szCs w:val="23"/>
        </w:rPr>
        <w:t>Niezarządzany)</w:t>
      </w:r>
    </w:p>
    <w:p w:rsidR="00715867" w:rsidRPr="00AF4616" w:rsidRDefault="00715867" w:rsidP="00856092">
      <w:pPr>
        <w:pStyle w:val="Akapitzlist"/>
        <w:numPr>
          <w:ilvl w:val="1"/>
          <w:numId w:val="8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Usługa LLU</w:t>
      </w:r>
    </w:p>
    <w:p w:rsidR="00715867" w:rsidRPr="00AF4616" w:rsidRDefault="00715867" w:rsidP="00856092">
      <w:pPr>
        <w:pStyle w:val="Akapitzlist"/>
        <w:numPr>
          <w:ilvl w:val="1"/>
          <w:numId w:val="8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Usługa VULA.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Model będzie dokonywał Testów MS zarówno dla detalicznych usług szerokopasmowych sprzedawanych pojedynczo, jak i dla pakietów usług detalicznych. 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Podstawowa zależność sprawdzana przez model analityczny.</w:t>
      </w:r>
    </w:p>
    <w:p w:rsidR="00715867" w:rsidRPr="00AF4616" w:rsidRDefault="005036B8" w:rsidP="00715867">
      <w:pPr>
        <w:pStyle w:val="Akapitzlist"/>
        <w:ind w:left="360"/>
        <w:rPr>
          <w:rFonts w:ascii="Calibri Light" w:hAnsi="Calibri Light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libri Light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D</m:t>
              </m:r>
            </m:sub>
          </m:sSub>
          <m:r>
            <m:rPr>
              <m:sty m:val="p"/>
            </m:rPr>
            <w:rPr>
              <w:rFonts w:ascii="Calibri Light" w:hAnsi="Calibri Light"/>
              <w:sz w:val="23"/>
              <w:szCs w:val="23"/>
            </w:rPr>
            <m:t>-</m:t>
          </m:r>
          <m:d>
            <m:dPr>
              <m:ctrlPr>
                <w:rPr>
                  <w:rFonts w:ascii="Cambria Math" w:hAnsi="Calibri Light"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r>
                <w:rPr>
                  <w:rFonts w:ascii="Cambria Math" w:hAnsi="Cambria Math"/>
                  <w:sz w:val="23"/>
                  <w:szCs w:val="23"/>
                </w:rPr>
                <m:t>RM</m:t>
              </m:r>
            </m:e>
          </m:d>
          <m:r>
            <m:rPr>
              <m:sty m:val="p"/>
            </m:rPr>
            <w:rPr>
              <w:rFonts w:ascii="Cambria Math" w:hAnsi="Calibri Light"/>
              <w:sz w:val="23"/>
              <w:szCs w:val="23"/>
            </w:rPr>
            <m:t>≥</m:t>
          </m:r>
          <m:r>
            <m:rPr>
              <m:sty m:val="p"/>
            </m:rPr>
            <w:rPr>
              <w:rFonts w:ascii="Cambria Math" w:hAnsi="Calibri Light"/>
              <w:sz w:val="23"/>
              <w:szCs w:val="23"/>
            </w:rPr>
            <m:t>0</m:t>
          </m:r>
        </m:oMath>
      </m:oMathPara>
    </w:p>
    <w:p w:rsidR="00715867" w:rsidRPr="00AF4616" w:rsidRDefault="00715867" w:rsidP="00715867">
      <w:pPr>
        <w:pStyle w:val="Akapitzlist"/>
        <w:ind w:left="36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Gdzie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>– suma opłat za usługę detaliczną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H</m:t>
            </m:r>
          </m:sub>
        </m:sSub>
        <m:r>
          <w:rPr>
            <w:rFonts w:ascii="Cambria Math" w:hAnsi="Calibri Light"/>
            <w:sz w:val="23"/>
            <w:szCs w:val="23"/>
          </w:rPr>
          <m:t xml:space="preserve"> </m:t>
        </m:r>
      </m:oMath>
      <w:r w:rsidR="00715867" w:rsidRPr="00AF4616">
        <w:rPr>
          <w:rFonts w:ascii="Calibri Light" w:hAnsi="Calibri Light"/>
          <w:sz w:val="23"/>
          <w:szCs w:val="23"/>
        </w:rPr>
        <w:t>– suma kosztów, jakie ponosi OK w związku z korzystaniem z usług hurtowych świadczonych przez OSD, w 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>– suma kosztów związanych z dostarczeniem własnej infrastruktury przez OK, w tym koszty, jakie ponosi OK w celu skorzystania z usług hurt</w:t>
      </w:r>
      <w:r w:rsidR="006540FA">
        <w:rPr>
          <w:rFonts w:ascii="Calibri Light" w:hAnsi="Calibri Light"/>
          <w:sz w:val="23"/>
          <w:szCs w:val="23"/>
        </w:rPr>
        <w:t>owych świadczonych przez OSD, w </w:t>
      </w:r>
      <w:r w:rsidR="00715867" w:rsidRPr="00AF4616">
        <w:rPr>
          <w:rFonts w:ascii="Calibri Light" w:hAnsi="Calibri Light"/>
          <w:sz w:val="23"/>
          <w:szCs w:val="23"/>
        </w:rPr>
        <w:t>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 xml:space="preserve"> </w:t>
      </w:r>
      <w:r w:rsidR="00715867" w:rsidRPr="00AF4616">
        <w:rPr>
          <w:rFonts w:ascii="Calibri Light" w:hAnsi="Calibri Light"/>
          <w:sz w:val="23"/>
          <w:szCs w:val="23"/>
        </w:rPr>
        <w:tab/>
        <w:t>– suma kosztów, jakie ponosi OK w celu świadczenia usługi użytkownikom końcowym (koszty detaliczne), w przeliczeniu na okres rozliczeniowy</w:t>
      </w:r>
    </w:p>
    <w:p w:rsidR="00715867" w:rsidRPr="00AF4616" w:rsidRDefault="00715867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RM</m:t>
        </m:r>
      </m:oMath>
      <w:r w:rsidRPr="00AF4616">
        <w:rPr>
          <w:rFonts w:ascii="Calibri Light" w:hAnsi="Calibri Light"/>
          <w:sz w:val="23"/>
          <w:szCs w:val="23"/>
        </w:rPr>
        <w:t xml:space="preserve"> – rozsądna marża, w przeliczeniu na okres rozliczeniowy.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W przypadku, kiedy OSD w danym momencie oferuje więcej niż jedną ofertę detaliczną zawierającą dostęp szerokopasmowy w określonej opcji przepustowości, Testy MS zostaną przeprowadzone dla każdej z tych ofert.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Testy MS dotyczą wszystkich ofert detalicznych stosowanych przez danego OSD na terenie danego obszaru konkursowego, w odniesieniu do którego</w:t>
      </w:r>
      <w:r w:rsidR="006540FA">
        <w:rPr>
          <w:rFonts w:ascii="Calibri Light" w:hAnsi="Calibri Light"/>
          <w:sz w:val="23"/>
          <w:szCs w:val="23"/>
        </w:rPr>
        <w:t xml:space="preserve"> OSD otrzymał pomoc publiczną z </w:t>
      </w:r>
      <w:r w:rsidRPr="00AF4616">
        <w:rPr>
          <w:rFonts w:ascii="Calibri Light" w:hAnsi="Calibri Light"/>
          <w:sz w:val="23"/>
          <w:szCs w:val="23"/>
        </w:rPr>
        <w:t>POPC. Testy MS nie dotyczą ofert detalicznych stosowanych przez danego OSD poza obszarem konkursowym, tj. na obszarach, na których nie u</w:t>
      </w:r>
      <w:r w:rsidR="006540FA">
        <w:rPr>
          <w:rFonts w:ascii="Calibri Light" w:hAnsi="Calibri Light"/>
          <w:sz w:val="23"/>
          <w:szCs w:val="23"/>
        </w:rPr>
        <w:t>zyskał pomocy publicznej lub na </w:t>
      </w:r>
      <w:r w:rsidRPr="00AF4616">
        <w:rPr>
          <w:rFonts w:ascii="Calibri Light" w:hAnsi="Calibri Light"/>
          <w:sz w:val="23"/>
          <w:szCs w:val="23"/>
        </w:rPr>
        <w:t xml:space="preserve">obszarach innych konkursów POPC. W związku z powyższym, jeżeli dany OSD wygrał kilka konkursów POPC na różnych obszarach konkursowych, może na każdym z nich stosować inne </w:t>
      </w:r>
      <w:r w:rsidRPr="00AF4616">
        <w:rPr>
          <w:rFonts w:ascii="Calibri Light" w:hAnsi="Calibri Light"/>
          <w:sz w:val="23"/>
          <w:szCs w:val="23"/>
        </w:rPr>
        <w:lastRenderedPageBreak/>
        <w:t>oferty detaliczne i w związku z tym inne oferty hurtowe, a co za tym idzie Testy MS mogą być przeprowadzone dla każdego obszaru.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Dla usług wiązanych, w których wszystkie produkty mają odpowiedniki w hurtowych usługach świadczonych przez OSD, Test MS przeprowadzany jest dla usługi wiązanej jako całości.</w:t>
      </w:r>
    </w:p>
    <w:p w:rsidR="00715867" w:rsidRPr="00AF4616" w:rsidRDefault="005036B8" w:rsidP="00715867">
      <w:pPr>
        <w:rPr>
          <w:rFonts w:ascii="Calibri Light" w:hAnsi="Calibri Light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libri Light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D</m:t>
              </m:r>
              <m:r>
                <w:rPr>
                  <w:rFonts w:ascii="Cambria Math" w:hAnsi="Calibri Light"/>
                  <w:sz w:val="23"/>
                  <w:szCs w:val="23"/>
                </w:rPr>
                <m:t>(</m:t>
              </m:r>
              <m:r>
                <w:rPr>
                  <w:rFonts w:ascii="Cambria Math" w:hAnsi="Cambria Math"/>
                  <w:sz w:val="23"/>
                  <w:szCs w:val="23"/>
                </w:rPr>
                <m:t>a</m:t>
              </m:r>
              <m:r>
                <w:rPr>
                  <w:rFonts w:ascii="Cambria Math" w:hAnsi="Calibri Light"/>
                  <w:sz w:val="23"/>
                  <w:szCs w:val="23"/>
                </w:rPr>
                <m:t>)</m:t>
              </m:r>
            </m:sub>
          </m:sSub>
          <m:r>
            <w:rPr>
              <w:rFonts w:ascii="Cambria Math" w:hAnsi="Calibri Light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libri Light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D</m:t>
              </m:r>
              <m:r>
                <w:rPr>
                  <w:rFonts w:ascii="Cambria Math" w:hAnsi="Calibri Light"/>
                  <w:sz w:val="23"/>
                  <w:szCs w:val="23"/>
                </w:rPr>
                <m:t>(</m:t>
              </m:r>
              <m:r>
                <w:rPr>
                  <w:rFonts w:ascii="Cambria Math" w:hAnsi="Cambria Math"/>
                  <w:sz w:val="23"/>
                  <w:szCs w:val="23"/>
                </w:rPr>
                <m:t>b</m:t>
              </m:r>
              <m:r>
                <w:rPr>
                  <w:rFonts w:ascii="Cambria Math" w:hAnsi="Calibri Light"/>
                  <w:sz w:val="23"/>
                  <w:szCs w:val="23"/>
                </w:rPr>
                <m:t>)</m:t>
              </m:r>
            </m:sub>
          </m:sSub>
          <m:r>
            <m:rPr>
              <m:sty m:val="p"/>
            </m:rPr>
            <w:rPr>
              <w:rFonts w:ascii="Calibri Light" w:hAnsi="Calibri Light"/>
              <w:sz w:val="23"/>
              <w:szCs w:val="23"/>
            </w:rPr>
            <m:t>-</m:t>
          </m:r>
          <m:d>
            <m:dPr>
              <m:ctrlPr>
                <w:rPr>
                  <w:rFonts w:ascii="Cambria Math" w:hAnsi="Calibri Light"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r>
                <w:rPr>
                  <w:rFonts w:ascii="Cambria Math" w:hAnsi="Cambria Math"/>
                  <w:sz w:val="23"/>
                  <w:szCs w:val="23"/>
                </w:rPr>
                <m:t>RM</m:t>
              </m:r>
            </m:e>
          </m:d>
          <m:r>
            <m:rPr>
              <m:sty m:val="p"/>
            </m:rPr>
            <w:rPr>
              <w:rFonts w:ascii="Cambria Math" w:hAnsi="Calibri Light"/>
              <w:sz w:val="23"/>
              <w:szCs w:val="23"/>
            </w:rPr>
            <m:t>≥</m:t>
          </m:r>
          <m:r>
            <m:rPr>
              <m:sty m:val="p"/>
            </m:rPr>
            <w:rPr>
              <w:rFonts w:ascii="Cambria Math" w:hAnsi="Calibri Light"/>
              <w:sz w:val="23"/>
              <w:szCs w:val="23"/>
            </w:rPr>
            <m:t>0</m:t>
          </m:r>
        </m:oMath>
      </m:oMathPara>
    </w:p>
    <w:p w:rsidR="00715867" w:rsidRPr="00AF4616" w:rsidRDefault="00715867" w:rsidP="00715867">
      <w:pPr>
        <w:pStyle w:val="Akapitzlist"/>
        <w:ind w:left="36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Gdzie: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  <m:r>
              <w:rPr>
                <w:rFonts w:ascii="Cambria Math" w:hAnsi="Calibri Light"/>
                <w:sz w:val="23"/>
                <w:szCs w:val="23"/>
              </w:rPr>
              <m:t>(</m:t>
            </m:r>
            <m:r>
              <w:rPr>
                <w:rFonts w:ascii="Cambria Math" w:hAnsi="Cambria Math"/>
                <w:sz w:val="23"/>
                <w:szCs w:val="23"/>
              </w:rPr>
              <m:t>a</m:t>
            </m:r>
            <m:r>
              <w:rPr>
                <w:rFonts w:ascii="Cambria Math" w:hAnsi="Calibri Light"/>
                <w:sz w:val="23"/>
                <w:szCs w:val="23"/>
              </w:rPr>
              <m:t>)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>– suma opłat za usługę detaliczną wiązaną (a)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  <m:r>
              <w:rPr>
                <w:rFonts w:ascii="Cambria Math" w:hAnsi="Calibri Light"/>
                <w:sz w:val="23"/>
                <w:szCs w:val="23"/>
              </w:rPr>
              <m:t>(</m:t>
            </m:r>
            <m:r>
              <w:rPr>
                <w:rFonts w:ascii="Cambria Math" w:hAnsi="Cambria Math"/>
                <w:sz w:val="23"/>
                <w:szCs w:val="23"/>
              </w:rPr>
              <m:t>b</m:t>
            </m:r>
            <m:r>
              <w:rPr>
                <w:rFonts w:ascii="Cambria Math" w:hAnsi="Calibri Light"/>
                <w:sz w:val="23"/>
                <w:szCs w:val="23"/>
              </w:rPr>
              <m:t>)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>– suma opłat za usługę detaliczną wiązaną (b)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H</m:t>
            </m:r>
          </m:sub>
        </m:sSub>
        <m:r>
          <w:rPr>
            <w:rFonts w:ascii="Cambria Math" w:hAnsi="Calibri Light"/>
            <w:sz w:val="23"/>
            <w:szCs w:val="23"/>
          </w:rPr>
          <m:t xml:space="preserve"> </m:t>
        </m:r>
      </m:oMath>
      <w:r w:rsidR="00715867" w:rsidRPr="00AF4616">
        <w:rPr>
          <w:rFonts w:ascii="Calibri Light" w:hAnsi="Calibri Light"/>
          <w:sz w:val="23"/>
          <w:szCs w:val="23"/>
        </w:rPr>
        <w:t>– suma kosztów, jakie ponosi OK w związku z korzystaniem z usług hurtowych świadczonych przez OSD, w przelicze</w:t>
      </w:r>
      <w:proofErr w:type="spellStart"/>
      <w:r w:rsidR="00715867" w:rsidRPr="00AF4616">
        <w:rPr>
          <w:rFonts w:ascii="Calibri Light" w:hAnsi="Calibri Light"/>
          <w:sz w:val="23"/>
          <w:szCs w:val="23"/>
        </w:rPr>
        <w:t>niu</w:t>
      </w:r>
      <w:proofErr w:type="spellEnd"/>
      <w:r w:rsidR="00715867" w:rsidRPr="00AF4616">
        <w:rPr>
          <w:rFonts w:ascii="Calibri Light" w:hAnsi="Calibri Light"/>
          <w:sz w:val="23"/>
          <w:szCs w:val="23"/>
        </w:rPr>
        <w:t xml:space="preserve">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 xml:space="preserve">– suma kosztów związanych z dostarczeniem własnej infrastruktury przez OK w tym koszty, jakie ponosi OK w celu skorzystania z usług hurtowych </w:t>
      </w:r>
      <w:r w:rsidR="006540FA">
        <w:rPr>
          <w:rFonts w:ascii="Calibri Light" w:hAnsi="Calibri Light"/>
          <w:sz w:val="23"/>
          <w:szCs w:val="23"/>
        </w:rPr>
        <w:t>świadczonych przez OSD, w </w:t>
      </w:r>
      <w:r w:rsidR="00715867" w:rsidRPr="00AF4616">
        <w:rPr>
          <w:rFonts w:ascii="Calibri Light" w:hAnsi="Calibri Light"/>
          <w:sz w:val="23"/>
          <w:szCs w:val="23"/>
        </w:rPr>
        <w:t>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 xml:space="preserve"> </w:t>
      </w:r>
      <w:r w:rsidR="00715867" w:rsidRPr="00AF4616">
        <w:rPr>
          <w:rFonts w:ascii="Calibri Light" w:hAnsi="Calibri Light"/>
          <w:sz w:val="23"/>
          <w:szCs w:val="23"/>
        </w:rPr>
        <w:tab/>
        <w:t>– suma kosztów, jakie ponosi OK w celu świadczenia usługi użytkownikom końcowym (koszty detaliczne), w przeliczeniu na okres rozliczeniowy</w:t>
      </w:r>
    </w:p>
    <w:p w:rsidR="00715867" w:rsidRPr="00AF4616" w:rsidRDefault="00715867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RM</m:t>
        </m:r>
      </m:oMath>
      <w:r w:rsidRPr="00AF4616">
        <w:rPr>
          <w:rFonts w:ascii="Calibri Light" w:hAnsi="Calibri Light"/>
          <w:sz w:val="23"/>
          <w:szCs w:val="23"/>
        </w:rPr>
        <w:t xml:space="preserve"> – rozsądna marża, w przeliczeniu na okres rozliczeniowy.</w:t>
      </w:r>
    </w:p>
    <w:p w:rsidR="00715867" w:rsidRPr="00AF4616" w:rsidRDefault="00715867" w:rsidP="00856092">
      <w:pPr>
        <w:pStyle w:val="Akapitzlist"/>
        <w:numPr>
          <w:ilvl w:val="0"/>
          <w:numId w:val="8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Dla usługi sprzedawanej w pakiecie z usługą dodatkową (niemającą odpowiednika w hurtowych usługach świadczonych przez OSD), Test MS</w:t>
      </w:r>
      <w:r w:rsidR="006540FA">
        <w:rPr>
          <w:rFonts w:ascii="Calibri Light" w:hAnsi="Calibri Light"/>
          <w:sz w:val="23"/>
          <w:szCs w:val="23"/>
        </w:rPr>
        <w:t xml:space="preserve"> przeprowadzany jest zgodnie ze </w:t>
      </w:r>
      <w:r w:rsidRPr="00AF4616">
        <w:rPr>
          <w:rFonts w:ascii="Calibri Light" w:hAnsi="Calibri Light"/>
          <w:sz w:val="23"/>
          <w:szCs w:val="23"/>
        </w:rPr>
        <w:t>wzorem:</w:t>
      </w:r>
    </w:p>
    <w:p w:rsidR="00715867" w:rsidRPr="00AF4616" w:rsidRDefault="005036B8" w:rsidP="00715867">
      <w:pPr>
        <w:pStyle w:val="Akapitzlist"/>
        <w:ind w:left="360"/>
        <w:rPr>
          <w:rFonts w:ascii="Calibri Light" w:hAnsi="Calibri Light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libri Light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D</m:t>
              </m:r>
            </m:sub>
          </m:sSub>
          <m:r>
            <m:rPr>
              <m:sty m:val="p"/>
            </m:rPr>
            <w:rPr>
              <w:rFonts w:ascii="Calibri Light" w:hAnsi="Calibri Light"/>
              <w:sz w:val="23"/>
              <w:szCs w:val="23"/>
            </w:rPr>
            <m:t>-</m:t>
          </m:r>
          <m:d>
            <m:dPr>
              <m:ctrlPr>
                <w:rPr>
                  <w:rFonts w:ascii="Cambria Math" w:hAnsi="Calibri Light"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libri Light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libri Light"/>
                  <w:sz w:val="23"/>
                  <w:szCs w:val="23"/>
                </w:rPr>
                <m:t>+</m:t>
              </m:r>
              <m:r>
                <w:rPr>
                  <w:rFonts w:ascii="Cambria Math" w:hAnsi="Cambria Math"/>
                  <w:sz w:val="23"/>
                  <w:szCs w:val="23"/>
                </w:rPr>
                <m:t>RM</m:t>
              </m:r>
            </m:e>
          </m:d>
          <m:r>
            <m:rPr>
              <m:sty m:val="p"/>
            </m:rPr>
            <w:rPr>
              <w:rFonts w:ascii="Cambria Math" w:hAnsi="Calibri Light"/>
              <w:sz w:val="23"/>
              <w:szCs w:val="23"/>
            </w:rPr>
            <m:t>≥</m:t>
          </m:r>
          <m:sSub>
            <m:sSubPr>
              <m:ctrlPr>
                <w:rPr>
                  <w:rFonts w:ascii="Cambria Math" w:hAnsi="Calibri Light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UW</m:t>
              </m:r>
            </m:sub>
          </m:sSub>
          <m:r>
            <m:rPr>
              <m:sty m:val="p"/>
            </m:rPr>
            <w:rPr>
              <w:rFonts w:ascii="Calibri Light" w:hAnsi="Calibri Light"/>
              <w:sz w:val="23"/>
              <w:szCs w:val="23"/>
            </w:rPr>
            <m:t>-</m:t>
          </m:r>
          <m:sSub>
            <m:sSubPr>
              <m:ctrlPr>
                <w:rPr>
                  <w:rFonts w:ascii="Cambria Math" w:hAnsi="Calibri Light"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C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UR</m:t>
              </m:r>
            </m:sub>
          </m:sSub>
        </m:oMath>
      </m:oMathPara>
    </w:p>
    <w:p w:rsidR="00715867" w:rsidRPr="00AF4616" w:rsidRDefault="00715867" w:rsidP="00715867">
      <w:pPr>
        <w:pStyle w:val="Akapitzlist"/>
        <w:ind w:left="36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Gdzie: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>– suma opłat za usługę detaliczną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H</m:t>
            </m:r>
          </m:sub>
        </m:sSub>
        <m:r>
          <w:rPr>
            <w:rFonts w:ascii="Cambria Math" w:hAnsi="Calibri Light"/>
            <w:sz w:val="23"/>
            <w:szCs w:val="23"/>
          </w:rPr>
          <m:t xml:space="preserve"> </m:t>
        </m:r>
      </m:oMath>
      <w:r w:rsidR="00715867" w:rsidRPr="00AF4616">
        <w:rPr>
          <w:rFonts w:ascii="Calibri Light" w:hAnsi="Calibri Light"/>
          <w:sz w:val="23"/>
          <w:szCs w:val="23"/>
        </w:rPr>
        <w:t>– suma kosztów, jakie ponosi OK w związku z korzystaniem z usług hurtowych świadczonych przez OSD, w 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P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ab/>
        <w:t>– suma kosztów związanych z dostarczeniem własnej infrastruktury przez OK w tym koszty, jakie ponosi OK w celu skorzystania z usług hurt</w:t>
      </w:r>
      <w:r w:rsidR="006540FA">
        <w:rPr>
          <w:rFonts w:ascii="Calibri Light" w:hAnsi="Calibri Light"/>
          <w:sz w:val="23"/>
          <w:szCs w:val="23"/>
        </w:rPr>
        <w:t>owych świadczonych przez OSD, w </w:t>
      </w:r>
      <w:r w:rsidR="00715867" w:rsidRPr="00AF4616">
        <w:rPr>
          <w:rFonts w:ascii="Calibri Light" w:hAnsi="Calibri Light"/>
          <w:sz w:val="23"/>
          <w:szCs w:val="23"/>
        </w:rPr>
        <w:t>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</m:sub>
        </m:sSub>
      </m:oMath>
      <w:r w:rsidR="00715867" w:rsidRPr="00AF4616">
        <w:rPr>
          <w:rFonts w:ascii="Calibri Light" w:hAnsi="Calibri Light"/>
          <w:sz w:val="23"/>
          <w:szCs w:val="23"/>
        </w:rPr>
        <w:t xml:space="preserve"> </w:t>
      </w:r>
      <w:r w:rsidR="00715867" w:rsidRPr="00AF4616">
        <w:rPr>
          <w:rFonts w:ascii="Calibri Light" w:hAnsi="Calibri Light"/>
          <w:sz w:val="23"/>
          <w:szCs w:val="23"/>
        </w:rPr>
        <w:tab/>
        <w:t>– suma kosztów, jakie ponosi OK w celu świadczenia usługi użytkownikom końcowym (koszty detaliczne), w przeliczeniu na okres rozliczeniowy</w:t>
      </w:r>
    </w:p>
    <w:p w:rsidR="00715867" w:rsidRPr="00AF4616" w:rsidRDefault="00715867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r>
          <w:rPr>
            <w:rFonts w:ascii="Cambria Math" w:hAnsi="Cambria Math"/>
            <w:sz w:val="23"/>
            <w:szCs w:val="23"/>
          </w:rPr>
          <m:t>RM</m:t>
        </m:r>
      </m:oMath>
      <w:r w:rsidRPr="00AF4616">
        <w:rPr>
          <w:rFonts w:ascii="Calibri Light" w:hAnsi="Calibri Light"/>
          <w:sz w:val="23"/>
          <w:szCs w:val="23"/>
        </w:rPr>
        <w:t xml:space="preserve"> – rozsądna marża, w 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UW</m:t>
            </m:r>
          </m:sub>
        </m:sSub>
        <m:r>
          <w:rPr>
            <w:rFonts w:ascii="Cambria Math" w:hAnsi="Calibri Light"/>
            <w:sz w:val="23"/>
            <w:szCs w:val="23"/>
          </w:rPr>
          <m:t xml:space="preserve"> </m:t>
        </m:r>
      </m:oMath>
      <w:r w:rsidR="00715867" w:rsidRPr="00AF4616">
        <w:rPr>
          <w:rFonts w:ascii="Calibri Light" w:hAnsi="Calibri Light"/>
          <w:sz w:val="23"/>
          <w:szCs w:val="23"/>
        </w:rPr>
        <w:t>– suma kosztów, jakie ponosi OK w związku ze świadczeniem usługi wiązanej jako całości, w przeliczeniu na okres rozliczeniowy</w:t>
      </w:r>
    </w:p>
    <w:p w:rsidR="00715867" w:rsidRPr="00AF4616" w:rsidRDefault="005036B8" w:rsidP="00715867">
      <w:pPr>
        <w:pStyle w:val="Akapitzlist"/>
        <w:ind w:left="357"/>
        <w:rPr>
          <w:rFonts w:ascii="Calibri Light" w:hAnsi="Calibri Light"/>
          <w:sz w:val="23"/>
          <w:szCs w:val="23"/>
        </w:rPr>
      </w:pP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UR</m:t>
            </m:r>
          </m:sub>
        </m:sSub>
        <m:r>
          <w:rPr>
            <w:rFonts w:ascii="Cambria Math" w:hAnsi="Calibri Light"/>
            <w:sz w:val="23"/>
            <w:szCs w:val="23"/>
          </w:rPr>
          <m:t xml:space="preserve"> </m:t>
        </m:r>
      </m:oMath>
      <w:r w:rsidR="00715867" w:rsidRPr="00AF4616">
        <w:rPr>
          <w:rFonts w:ascii="Calibri Light" w:hAnsi="Calibri Light"/>
          <w:sz w:val="23"/>
          <w:szCs w:val="23"/>
        </w:rPr>
        <w:t>– suma kosztów, jakie ponosi OK w związku ze świadczeniem produktu mającego odpowiednik w usługach hurtowych świadczonych przez OSD, jako samodzielna usługa detaliczna, w przeliczeniu na okres rozliczeniowy.</w:t>
      </w:r>
    </w:p>
    <w:p w:rsidR="00715867" w:rsidRPr="00AF4616" w:rsidRDefault="00715867" w:rsidP="00856092">
      <w:pPr>
        <w:pStyle w:val="Nagwek2"/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Calibri Light" w:hAnsi="Calibri Light"/>
          <w:sz w:val="23"/>
          <w:szCs w:val="23"/>
        </w:rPr>
      </w:pPr>
      <w:bookmarkStart w:id="2" w:name="_Toc494796618"/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Zasady wyznaczenia opłat za usługę detaliczną </w:t>
      </w:r>
      <m:oMath>
        <m:sSub>
          <m:sSubPr>
            <m:ctrlPr>
              <w:rPr>
                <w:rFonts w:ascii="Cambria Math" w:hAnsi="Calibri Light"/>
                <w:bCs w:val="0"/>
                <w:color w:val="auto"/>
                <w:sz w:val="23"/>
                <w:szCs w:val="23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D</m:t>
            </m:r>
          </m:sub>
        </m:sSub>
      </m:oMath>
      <w:bookmarkEnd w:id="2"/>
    </w:p>
    <w:p w:rsidR="00715867" w:rsidRPr="00AF4616" w:rsidRDefault="00715867" w:rsidP="00856092">
      <w:pPr>
        <w:pStyle w:val="Akapitzlist"/>
        <w:numPr>
          <w:ilvl w:val="0"/>
          <w:numId w:val="9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Na miesięczną cenę detaliczną </w:t>
      </w: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D</m:t>
            </m:r>
          </m:sub>
        </m:sSub>
      </m:oMath>
      <w:r w:rsidRPr="00AF4616">
        <w:rPr>
          <w:rFonts w:ascii="Calibri Light" w:hAnsi="Calibri Light"/>
          <w:sz w:val="23"/>
          <w:szCs w:val="23"/>
        </w:rPr>
        <w:t xml:space="preserve"> składają się następujące pozycje (wszystkie netto):</w:t>
      </w:r>
    </w:p>
    <w:p w:rsidR="00715867" w:rsidRPr="00AF4616" w:rsidRDefault="00715867" w:rsidP="00715867">
      <w:pPr>
        <w:ind w:firstLine="357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–</w:t>
      </w:r>
      <w:r w:rsidRPr="00AF4616">
        <w:rPr>
          <w:rFonts w:ascii="Calibri Light" w:hAnsi="Calibri Light"/>
          <w:sz w:val="23"/>
          <w:szCs w:val="23"/>
        </w:rPr>
        <w:tab/>
        <w:t>cena jednorazowa związana z aktywacją usługi</w:t>
      </w:r>
    </w:p>
    <w:p w:rsidR="00715867" w:rsidRPr="00AF4616" w:rsidRDefault="00715867" w:rsidP="00715867">
      <w:pPr>
        <w:ind w:firstLine="357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– </w:t>
      </w:r>
      <w:r w:rsidRPr="00AF4616">
        <w:rPr>
          <w:rFonts w:ascii="Calibri Light" w:hAnsi="Calibri Light"/>
          <w:sz w:val="23"/>
          <w:szCs w:val="23"/>
        </w:rPr>
        <w:tab/>
        <w:t>cena abonamentowa w okresie promocyjnym</w:t>
      </w:r>
    </w:p>
    <w:p w:rsidR="00715867" w:rsidRPr="00AF4616" w:rsidRDefault="00715867" w:rsidP="00715867">
      <w:pPr>
        <w:ind w:firstLine="357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lastRenderedPageBreak/>
        <w:t xml:space="preserve">– </w:t>
      </w:r>
      <w:r w:rsidRPr="00AF4616">
        <w:rPr>
          <w:rFonts w:ascii="Calibri Light" w:hAnsi="Calibri Light"/>
          <w:sz w:val="23"/>
          <w:szCs w:val="23"/>
        </w:rPr>
        <w:tab/>
        <w:t>cena abonamentowa poza okresem promocyjnym</w:t>
      </w:r>
    </w:p>
    <w:p w:rsidR="00715867" w:rsidRPr="00AF4616" w:rsidRDefault="00715867" w:rsidP="00715867">
      <w:pPr>
        <w:ind w:firstLine="357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– </w:t>
      </w:r>
      <w:r w:rsidRPr="00AF4616">
        <w:rPr>
          <w:rFonts w:ascii="Calibri Light" w:hAnsi="Calibri Light"/>
          <w:sz w:val="23"/>
          <w:szCs w:val="23"/>
        </w:rPr>
        <w:tab/>
        <w:t>cena jednorazowa za dodatkowy gadżet/bonus oferowany w ramach usługi</w:t>
      </w:r>
    </w:p>
    <w:p w:rsidR="00715867" w:rsidRPr="00AF4616" w:rsidRDefault="00715867" w:rsidP="00715867">
      <w:pPr>
        <w:ind w:firstLine="357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– </w:t>
      </w:r>
      <w:r w:rsidRPr="00AF4616">
        <w:rPr>
          <w:rFonts w:ascii="Calibri Light" w:hAnsi="Calibri Light"/>
          <w:sz w:val="23"/>
          <w:szCs w:val="23"/>
        </w:rPr>
        <w:tab/>
        <w:t>wartość jednorazowego gadżetu promocyjnego.</w:t>
      </w:r>
    </w:p>
    <w:p w:rsidR="00715867" w:rsidRPr="00AF4616" w:rsidRDefault="00715867" w:rsidP="00856092">
      <w:pPr>
        <w:pStyle w:val="Akapitzlist"/>
        <w:numPr>
          <w:ilvl w:val="0"/>
          <w:numId w:val="9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Cenę miesięczną usługi detalicznej ustala się na podstawie ceny miesięcznej w okresie promocyjnym i ceny miesięcznej poza okresem promocyjnym, które uiszcza Abonent korzystający z usługi detalicznej. Średnio ważona cena miesięczna = (Cena miesięczna w okresie promocyjnym * liczba miesięcy w okresie promocyjnym + Cena miesięczna poza okresem promocyjnym * liczba miesięcy poza okresem promocyjnym)/okres trwania umowy terminowej w miesiącach.</w:t>
      </w:r>
    </w:p>
    <w:p w:rsidR="00715867" w:rsidRPr="00AF4616" w:rsidRDefault="00715867" w:rsidP="00856092">
      <w:pPr>
        <w:pStyle w:val="Akapitzlist"/>
        <w:numPr>
          <w:ilvl w:val="0"/>
          <w:numId w:val="9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Cena jednorazowa związana z aktywacją usługi detalicznej lub z pozyskaniem dodatkowego gadżetu promocyjnego powinna zostać rozłożona równomiernie na zakładany czas życia abonenta wyznaczony jako 1/</w:t>
      </w:r>
      <w:proofErr w:type="spellStart"/>
      <w:r w:rsidRPr="00AF4616">
        <w:rPr>
          <w:rFonts w:ascii="Calibri Light" w:hAnsi="Calibri Light"/>
          <w:sz w:val="23"/>
          <w:szCs w:val="23"/>
        </w:rPr>
        <w:t>churn</w:t>
      </w:r>
      <w:proofErr w:type="spellEnd"/>
      <w:r w:rsidRPr="00AF4616">
        <w:rPr>
          <w:rFonts w:ascii="Calibri Light" w:hAnsi="Calibri Light"/>
          <w:sz w:val="23"/>
          <w:szCs w:val="23"/>
        </w:rPr>
        <w:t xml:space="preserve">. </w:t>
      </w:r>
    </w:p>
    <w:p w:rsidR="00715867" w:rsidRPr="00AF4616" w:rsidRDefault="00715867" w:rsidP="00856092">
      <w:pPr>
        <w:pStyle w:val="Akapitzlist"/>
        <w:numPr>
          <w:ilvl w:val="0"/>
          <w:numId w:val="9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Od ceny detalicznej odejmowana jest ewentualna wartość gadżetu przyznawanego przez OSD Abonentowi nabywającemu usługę rozłożona równomiernie na czas trwania umowy terminowej.</w:t>
      </w:r>
    </w:p>
    <w:p w:rsidR="00715867" w:rsidRPr="00AF4616" w:rsidRDefault="00715867" w:rsidP="00856092">
      <w:pPr>
        <w:pStyle w:val="Nagwek2"/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Calibri Light" w:hAnsi="Calibri Light"/>
          <w:bCs w:val="0"/>
          <w:color w:val="auto"/>
          <w:sz w:val="23"/>
          <w:szCs w:val="23"/>
        </w:rPr>
      </w:pPr>
      <w:bookmarkStart w:id="3" w:name="_Toc494796619"/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Zasady wyznaczenia opłat za usługi hurtowe </w:t>
      </w:r>
      <m:oMath>
        <m:sSub>
          <m:sSubPr>
            <m:ctrlPr>
              <w:rPr>
                <w:rFonts w:ascii="Cambria Math" w:hAnsi="Calibri Light"/>
                <w:bCs w:val="0"/>
                <w:color w:val="auto"/>
                <w:sz w:val="23"/>
                <w:szCs w:val="23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H</m:t>
            </m:r>
          </m:sub>
        </m:sSub>
      </m:oMath>
      <w:bookmarkEnd w:id="3"/>
    </w:p>
    <w:p w:rsidR="00715867" w:rsidRPr="00AF4616" w:rsidRDefault="00715867" w:rsidP="00856092">
      <w:pPr>
        <w:pStyle w:val="Akapitzlist"/>
        <w:numPr>
          <w:ilvl w:val="0"/>
          <w:numId w:val="4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Na miesięczną opłatę za usługi hurtowe </w:t>
      </w:r>
      <m:oMath>
        <m:sSub>
          <m:sSubPr>
            <m:ctrlPr>
              <w:rPr>
                <w:rFonts w:ascii="Cambria Math" w:hAnsi="Calibri Light"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H</m:t>
            </m:r>
          </m:sub>
        </m:sSub>
        <m:r>
          <w:rPr>
            <w:rFonts w:ascii="Cambria Math" w:hAnsi="Calibri Light"/>
            <w:sz w:val="23"/>
            <w:szCs w:val="23"/>
          </w:rPr>
          <m:t xml:space="preserve"> </m:t>
        </m:r>
      </m:oMath>
      <w:r w:rsidRPr="00AF4616">
        <w:rPr>
          <w:rFonts w:ascii="Calibri Light" w:hAnsi="Calibri Light"/>
          <w:sz w:val="23"/>
          <w:szCs w:val="23"/>
        </w:rPr>
        <w:t>składają się następujące pozycje (wszystkie netto)</w:t>
      </w:r>
    </w:p>
    <w:p w:rsidR="00715867" w:rsidRPr="00AF4616" w:rsidRDefault="00715867" w:rsidP="00856092">
      <w:pPr>
        <w:pStyle w:val="Akapitzlist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suma miesięcznych opłat za usługę hurtową (BSA, LLU, VULA)</w:t>
      </w:r>
    </w:p>
    <w:p w:rsidR="00715867" w:rsidRPr="00AF4616" w:rsidRDefault="00715867" w:rsidP="00856092">
      <w:pPr>
        <w:pStyle w:val="Akapitzlist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suma miesięcznych opłat za usługi hurtowe świadczone na PDU związane z utrzymaniem punktu styku sieci</w:t>
      </w:r>
    </w:p>
    <w:p w:rsidR="00715867" w:rsidRPr="00AF4616" w:rsidRDefault="00715867" w:rsidP="00856092">
      <w:pPr>
        <w:pStyle w:val="Akapitzlist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opłaty jednorazowe za uruchomienie i konfiguracje usługi (BSA, LLU, VULA)</w:t>
      </w:r>
    </w:p>
    <w:p w:rsidR="00715867" w:rsidRPr="00AF4616" w:rsidRDefault="00715867" w:rsidP="00856092">
      <w:pPr>
        <w:pStyle w:val="Akapitzlist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opłaty jednorazowe za uruchomienie i konfiguracje PDU związane z uruchomieniem i konfiguracją punktu styku sieci.</w:t>
      </w:r>
    </w:p>
    <w:p w:rsidR="00715867" w:rsidRPr="00AF4616" w:rsidRDefault="00715867" w:rsidP="00856092">
      <w:pPr>
        <w:pStyle w:val="Akapitzlist"/>
        <w:numPr>
          <w:ilvl w:val="0"/>
          <w:numId w:val="4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W celu uzyskania sumy kosztów, jakie ponosi OK w związku z korzystaniem z usług hurtowych świadczonych przez OSD według poziomów dostępu, należy wykonać następujące działanie:</w:t>
      </w:r>
    </w:p>
    <w:p w:rsidR="00715867" w:rsidRPr="00AF4616" w:rsidRDefault="00715867" w:rsidP="00715867">
      <w:pPr>
        <w:spacing w:after="120"/>
        <w:ind w:left="36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Suma kosztów OK w związku z korzystaniem z Usług hurtowych = miesięczna opłata za usługę hurtowa (BSA, LLU, VULA) pobierana przez OSD od O</w:t>
      </w:r>
      <w:r w:rsidR="006540FA">
        <w:rPr>
          <w:rFonts w:ascii="Calibri Light" w:hAnsi="Calibri Light"/>
          <w:sz w:val="23"/>
          <w:szCs w:val="23"/>
        </w:rPr>
        <w:t>K + suma opłat jednorazowych za </w:t>
      </w:r>
      <w:r w:rsidRPr="00AF4616">
        <w:rPr>
          <w:rFonts w:ascii="Calibri Light" w:hAnsi="Calibri Light"/>
          <w:sz w:val="23"/>
          <w:szCs w:val="23"/>
        </w:rPr>
        <w:t>uruchomienie i konfiguracje usługi hurtowej (BSA, LLU, VULA) w tym utrzymanie łącza abonenckiego / czas „życia” Abonenta.</w:t>
      </w:r>
    </w:p>
    <w:p w:rsidR="00715867" w:rsidRPr="00AF4616" w:rsidRDefault="00715867" w:rsidP="00856092">
      <w:pPr>
        <w:pStyle w:val="Akapitzlist"/>
        <w:numPr>
          <w:ilvl w:val="0"/>
          <w:numId w:val="4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W celu uzyskania sumy kosztów, jakie ponosi OK w związku z połączeniem z siecią OSD (koszt PDU) według poziomów dostępu, należy wykonać następujące działanie:</w:t>
      </w:r>
    </w:p>
    <w:p w:rsidR="00715867" w:rsidRPr="00AF4616" w:rsidRDefault="00715867" w:rsidP="00715867">
      <w:pPr>
        <w:pStyle w:val="Akapitzlist"/>
        <w:ind w:left="36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Suma kosztów, jakie ponosi OK w związku z połączeniem z siecią OSD (koszt PDU) w przeliczeniu na Abonenta miesięcznie = całkowite opłaty jednorazowe / liczba Abonentów / okres „życia” Abonenta + całkowite opłaty miesięczne / liczba Abonentów.</w:t>
      </w:r>
    </w:p>
    <w:p w:rsidR="00715867" w:rsidRPr="00AF4616" w:rsidRDefault="00715867" w:rsidP="00856092">
      <w:pPr>
        <w:pStyle w:val="Nagwek2"/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Calibri Light" w:hAnsi="Calibri Light"/>
          <w:bCs w:val="0"/>
          <w:color w:val="auto"/>
          <w:sz w:val="23"/>
          <w:szCs w:val="23"/>
        </w:rPr>
      </w:pPr>
      <w:bookmarkStart w:id="4" w:name="_Toc494796620"/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Zasady wyznaczania kosztów związanych z wykorzystaniem własnej infrastruktury OK </w:t>
      </w:r>
      <m:oMath>
        <m:sSub>
          <m:sSubPr>
            <m:ctrlPr>
              <w:rPr>
                <w:rFonts w:ascii="Cambria Math" w:hAnsi="Calibri Light"/>
                <w:bCs w:val="0"/>
                <w:color w:val="auto"/>
                <w:sz w:val="23"/>
                <w:szCs w:val="23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P</m:t>
            </m:r>
          </m:sub>
        </m:sSub>
      </m:oMath>
      <w:bookmarkEnd w:id="4"/>
    </w:p>
    <w:p w:rsidR="00715867" w:rsidRPr="00AF4616" w:rsidRDefault="00715867" w:rsidP="00856092">
      <w:pPr>
        <w:pStyle w:val="Akapitzlist"/>
        <w:numPr>
          <w:ilvl w:val="0"/>
          <w:numId w:val="5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Na miesięczne koszty związane z wykorzystaniem własnej infrastruktury OK wchodzą koszty amortyzacji, koszt kapitału zaangażowanego i koszty operacyjne. Amortyzacja i koszty operacyjne zostaną określone na podstawie danych księgowych, natomiast koszt kapitału </w:t>
      </w:r>
      <w:r w:rsidRPr="00AF4616">
        <w:rPr>
          <w:rFonts w:ascii="Calibri Light" w:hAnsi="Calibri Light"/>
          <w:sz w:val="23"/>
          <w:szCs w:val="23"/>
        </w:rPr>
        <w:lastRenderedPageBreak/>
        <w:t>zaangażowanego zostanie wyznaczony jako iloczyn wartości księgowej netto oraz wskaźnika WACC.</w:t>
      </w:r>
    </w:p>
    <w:p w:rsidR="00715867" w:rsidRPr="00AF4616" w:rsidRDefault="00715867" w:rsidP="00856092">
      <w:pPr>
        <w:pStyle w:val="Akapitzlist"/>
        <w:numPr>
          <w:ilvl w:val="0"/>
          <w:numId w:val="5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Koszty związane z wykorzystaniem własnej infrastruktury zostaną przeliczone na jednego Abonenta.</w:t>
      </w:r>
    </w:p>
    <w:p w:rsidR="00715867" w:rsidRPr="00AF4616" w:rsidRDefault="00715867" w:rsidP="00856092">
      <w:pPr>
        <w:pStyle w:val="Akapitzlist"/>
        <w:numPr>
          <w:ilvl w:val="0"/>
          <w:numId w:val="5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Przy wyznaczaniu kosztów związanych z wykorzystaniem własnej infrastruktury OK należy przyjąć nastające elementy sieciowe:</w:t>
      </w:r>
    </w:p>
    <w:p w:rsidR="00715867" w:rsidRPr="00AF4616" w:rsidRDefault="00715867" w:rsidP="00856092">
      <w:pPr>
        <w:pStyle w:val="Akapitzlist"/>
        <w:numPr>
          <w:ilvl w:val="1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Dla usługi LLU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urządzenie dostępowe w PDU np. OLT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od PDU do pierwszego węzła koncentrującego ruch (Ethernet, IP) 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w sieci Ethernet do pierwszego węzła koncentrującego do sieci IP 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routery Usługowe (BRAS, BNG) – koszty urządzeń aktywnych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w sieci IP 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urządzenia </w:t>
      </w:r>
      <w:proofErr w:type="spellStart"/>
      <w:r w:rsidRPr="00AF4616">
        <w:rPr>
          <w:rFonts w:ascii="Calibri Light" w:hAnsi="Calibri Light"/>
          <w:sz w:val="23"/>
          <w:szCs w:val="23"/>
        </w:rPr>
        <w:t>autentykacyjne</w:t>
      </w:r>
      <w:proofErr w:type="spellEnd"/>
      <w:r w:rsidRPr="00AF4616">
        <w:rPr>
          <w:rFonts w:ascii="Calibri Light" w:hAnsi="Calibri Light"/>
          <w:sz w:val="23"/>
          <w:szCs w:val="23"/>
        </w:rPr>
        <w:t xml:space="preserve"> – koszty urządzeń aktywnych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ind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koszt wymiany ruchu – </w:t>
      </w:r>
      <w:proofErr w:type="spellStart"/>
      <w:r w:rsidRPr="00AF4616">
        <w:rPr>
          <w:rFonts w:ascii="Calibri Light" w:hAnsi="Calibri Light"/>
          <w:sz w:val="23"/>
          <w:szCs w:val="23"/>
        </w:rPr>
        <w:t>peering</w:t>
      </w:r>
      <w:proofErr w:type="spellEnd"/>
      <w:r w:rsidRPr="00AF4616">
        <w:rPr>
          <w:rFonts w:ascii="Calibri Light" w:hAnsi="Calibri Light"/>
          <w:sz w:val="23"/>
          <w:szCs w:val="23"/>
        </w:rPr>
        <w:t>.</w:t>
      </w:r>
    </w:p>
    <w:p w:rsidR="00715867" w:rsidRPr="00AF4616" w:rsidRDefault="00715867" w:rsidP="00856092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Dla usługi VULA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od PDU do pierwszego węzła koncentrującego ruch (Ethernet, IP) 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w sieci Ethernet od pierwszego węzła koncentrującego do sieci IP 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routery Usługowe (BRAS, BNG) – koszty urządzeń aktywnych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w sieci IP 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urządzenia </w:t>
      </w:r>
      <w:proofErr w:type="spellStart"/>
      <w:r w:rsidRPr="00AF4616">
        <w:rPr>
          <w:rFonts w:ascii="Calibri Light" w:hAnsi="Calibri Light"/>
          <w:sz w:val="23"/>
          <w:szCs w:val="23"/>
        </w:rPr>
        <w:t>autentykacyjne</w:t>
      </w:r>
      <w:proofErr w:type="spellEnd"/>
      <w:r w:rsidRPr="00AF4616">
        <w:rPr>
          <w:rFonts w:ascii="Calibri Light" w:hAnsi="Calibri Light"/>
          <w:sz w:val="23"/>
          <w:szCs w:val="23"/>
        </w:rPr>
        <w:t xml:space="preserve"> – koszty urządzeń aktywnych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koszt wymiany ruchu – </w:t>
      </w:r>
      <w:proofErr w:type="spellStart"/>
      <w:r w:rsidRPr="00AF4616">
        <w:rPr>
          <w:rFonts w:ascii="Calibri Light" w:hAnsi="Calibri Light"/>
          <w:sz w:val="23"/>
          <w:szCs w:val="23"/>
        </w:rPr>
        <w:t>peering</w:t>
      </w:r>
      <w:proofErr w:type="spellEnd"/>
      <w:r w:rsidRPr="00AF4616">
        <w:rPr>
          <w:rFonts w:ascii="Calibri Light" w:hAnsi="Calibri Light"/>
          <w:sz w:val="23"/>
          <w:szCs w:val="23"/>
        </w:rPr>
        <w:t>.</w:t>
      </w:r>
    </w:p>
    <w:p w:rsidR="00715867" w:rsidRPr="00AF4616" w:rsidRDefault="00715867" w:rsidP="00856092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Dla usługi BSA na poziomie Ethernet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w sieci Ethernet do pierwszego węzła koncentrującego do sieci IP 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routery Usługowe (BRAS, BNG) – koszty urządzeń aktywnych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 transmisji w sieci IP – koszty urządzeń aktywnych oraz infrastruktury pasywnej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urządzenia </w:t>
      </w:r>
      <w:proofErr w:type="spellStart"/>
      <w:r w:rsidRPr="00AF4616">
        <w:rPr>
          <w:rFonts w:ascii="Calibri Light" w:hAnsi="Calibri Light"/>
          <w:sz w:val="23"/>
          <w:szCs w:val="23"/>
        </w:rPr>
        <w:t>autentykacyjne</w:t>
      </w:r>
      <w:proofErr w:type="spellEnd"/>
      <w:r w:rsidRPr="00AF4616">
        <w:rPr>
          <w:rFonts w:ascii="Calibri Light" w:hAnsi="Calibri Light"/>
          <w:sz w:val="23"/>
          <w:szCs w:val="23"/>
        </w:rPr>
        <w:t xml:space="preserve"> – koszty urządzeń aktywnych</w:t>
      </w:r>
    </w:p>
    <w:p w:rsidR="00715867" w:rsidRPr="00AF4616" w:rsidRDefault="00715867" w:rsidP="00856092">
      <w:pPr>
        <w:pStyle w:val="Akapitzlist"/>
        <w:numPr>
          <w:ilvl w:val="2"/>
          <w:numId w:val="5"/>
        </w:numPr>
        <w:suppressAutoHyphens/>
        <w:spacing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koszt wymiany ruchu – </w:t>
      </w:r>
      <w:proofErr w:type="spellStart"/>
      <w:r w:rsidRPr="00AF4616">
        <w:rPr>
          <w:rFonts w:ascii="Calibri Light" w:hAnsi="Calibri Light"/>
          <w:sz w:val="23"/>
          <w:szCs w:val="23"/>
        </w:rPr>
        <w:t>peering</w:t>
      </w:r>
      <w:proofErr w:type="spellEnd"/>
      <w:r w:rsidRPr="00AF4616">
        <w:rPr>
          <w:rFonts w:ascii="Calibri Light" w:hAnsi="Calibri Light"/>
          <w:sz w:val="23"/>
          <w:szCs w:val="23"/>
        </w:rPr>
        <w:t>.</w:t>
      </w:r>
    </w:p>
    <w:p w:rsidR="00715867" w:rsidRPr="00AF4616" w:rsidRDefault="00715867" w:rsidP="00856092">
      <w:pPr>
        <w:pStyle w:val="Nagwek2"/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Calibri Light" w:hAnsi="Calibri Light"/>
          <w:bCs w:val="0"/>
          <w:color w:val="auto"/>
          <w:sz w:val="23"/>
          <w:szCs w:val="23"/>
        </w:rPr>
      </w:pPr>
      <w:bookmarkStart w:id="5" w:name="_Toc494796621"/>
      <w:r w:rsidRPr="00AF4616">
        <w:rPr>
          <w:rFonts w:ascii="Calibri Light" w:hAnsi="Calibri Light"/>
          <w:bCs w:val="0"/>
          <w:color w:val="auto"/>
          <w:sz w:val="23"/>
          <w:szCs w:val="23"/>
        </w:rPr>
        <w:t xml:space="preserve">Zasady wyznaczania kosztów detalicznych </w:t>
      </w:r>
      <m:oMath>
        <m:sSub>
          <m:sSubPr>
            <m:ctrlPr>
              <w:rPr>
                <w:rFonts w:ascii="Cambria Math" w:hAnsi="Calibri Light"/>
                <w:bCs w:val="0"/>
                <w:color w:val="auto"/>
                <w:sz w:val="23"/>
                <w:szCs w:val="23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23"/>
                <w:szCs w:val="23"/>
              </w:rPr>
              <m:t>D</m:t>
            </m:r>
          </m:sub>
        </m:sSub>
      </m:oMath>
      <w:bookmarkEnd w:id="5"/>
    </w:p>
    <w:p w:rsidR="00715867" w:rsidRPr="00AF4616" w:rsidRDefault="00715867" w:rsidP="00856092">
      <w:pPr>
        <w:pStyle w:val="Akapitzlist"/>
        <w:numPr>
          <w:ilvl w:val="0"/>
          <w:numId w:val="6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Do tej kategorii zaliczane są koszty wszystkich procesów związanych ze sprzedażą usługi oraz bieżącą obsługą Abonenta. Procesy te są zawarte w jednej z poniższych kategorii:</w:t>
      </w:r>
    </w:p>
    <w:p w:rsidR="00715867" w:rsidRPr="00AF4616" w:rsidRDefault="00715867" w:rsidP="00856092">
      <w:pPr>
        <w:pStyle w:val="Akapitzlist"/>
        <w:numPr>
          <w:ilvl w:val="1"/>
          <w:numId w:val="7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koszty pozyskania klienta</w:t>
      </w:r>
    </w:p>
    <w:p w:rsidR="00715867" w:rsidRPr="00AF4616" w:rsidRDefault="00715867" w:rsidP="00856092">
      <w:pPr>
        <w:pStyle w:val="Akapitzlist"/>
        <w:numPr>
          <w:ilvl w:val="1"/>
          <w:numId w:val="7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marketing i reklama</w:t>
      </w:r>
    </w:p>
    <w:p w:rsidR="00715867" w:rsidRPr="00AF4616" w:rsidRDefault="00715867" w:rsidP="00856092">
      <w:pPr>
        <w:pStyle w:val="Akapitzlist"/>
        <w:numPr>
          <w:ilvl w:val="1"/>
          <w:numId w:val="7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koszty kontaktu z klientem i przyjmowanie zgłoszeń, reklamacji</w:t>
      </w:r>
    </w:p>
    <w:p w:rsidR="00715867" w:rsidRPr="00AF4616" w:rsidRDefault="00715867" w:rsidP="00856092">
      <w:pPr>
        <w:pStyle w:val="Akapitzlist"/>
        <w:numPr>
          <w:ilvl w:val="1"/>
          <w:numId w:val="7"/>
        </w:numPr>
        <w:suppressAutoHyphens/>
        <w:spacing w:after="0" w:line="240" w:lineRule="auto"/>
        <w:ind w:left="714" w:hanging="357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>koszty obsługi należności.</w:t>
      </w:r>
    </w:p>
    <w:p w:rsidR="00715867" w:rsidRPr="00AF4616" w:rsidRDefault="00715867" w:rsidP="00856092">
      <w:pPr>
        <w:pStyle w:val="Akapitzlist"/>
        <w:numPr>
          <w:ilvl w:val="0"/>
          <w:numId w:val="7"/>
        </w:numPr>
        <w:suppressAutoHyphens/>
        <w:spacing w:before="120" w:after="0" w:line="240" w:lineRule="auto"/>
        <w:contextualSpacing w:val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Koszty związane z wykorzystaniem własnej infrastruktury zostaną przeliczone na jednego Abonenta. Przy czym koszty pozyskania klienta zostaną rozłożone na czas życia klienta. Pozostałe kategorie kosztowe będą wyznaczane jako średnie </w:t>
      </w:r>
      <w:r w:rsidR="006540FA">
        <w:rPr>
          <w:rFonts w:ascii="Calibri Light" w:hAnsi="Calibri Light"/>
          <w:sz w:val="23"/>
          <w:szCs w:val="23"/>
        </w:rPr>
        <w:t>miesięczne koszty podzielone na </w:t>
      </w:r>
      <w:r w:rsidRPr="00AF4616">
        <w:rPr>
          <w:rFonts w:ascii="Calibri Light" w:hAnsi="Calibri Light"/>
          <w:sz w:val="23"/>
          <w:szCs w:val="23"/>
        </w:rPr>
        <w:t>liczbę klientów.</w:t>
      </w:r>
    </w:p>
    <w:p w:rsidR="00715867" w:rsidRPr="00AF4616" w:rsidRDefault="00715867" w:rsidP="00856092">
      <w:pPr>
        <w:pStyle w:val="Nagwek2"/>
        <w:numPr>
          <w:ilvl w:val="0"/>
          <w:numId w:val="3"/>
        </w:numPr>
        <w:suppressAutoHyphens/>
        <w:spacing w:before="240" w:after="240" w:line="240" w:lineRule="auto"/>
        <w:jc w:val="both"/>
        <w:rPr>
          <w:rFonts w:ascii="Calibri Light" w:hAnsi="Calibri Light"/>
          <w:bCs w:val="0"/>
          <w:color w:val="auto"/>
          <w:sz w:val="23"/>
          <w:szCs w:val="23"/>
        </w:rPr>
      </w:pPr>
      <w:bookmarkStart w:id="6" w:name="_Toc494796622"/>
      <w:r w:rsidRPr="00AF4616">
        <w:rPr>
          <w:rFonts w:ascii="Calibri Light" w:hAnsi="Calibri Light"/>
          <w:bCs w:val="0"/>
          <w:color w:val="auto"/>
          <w:sz w:val="23"/>
          <w:szCs w:val="23"/>
        </w:rPr>
        <w:lastRenderedPageBreak/>
        <w:t>Zasady wyznaczania rozsądnej marży</w:t>
      </w:r>
      <m:oMath>
        <m:r>
          <m:rPr>
            <m:sty m:val="b"/>
          </m:rPr>
          <w:rPr>
            <w:rFonts w:ascii="Cambria Math" w:hAnsi="Calibri Light"/>
            <w:color w:val="auto"/>
            <w:sz w:val="23"/>
            <w:szCs w:val="23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auto"/>
            <w:sz w:val="23"/>
            <w:szCs w:val="23"/>
          </w:rPr>
          <m:t>RM</m:t>
        </m:r>
      </m:oMath>
      <w:bookmarkEnd w:id="6"/>
    </w:p>
    <w:p w:rsidR="00715867" w:rsidRPr="00AF4616" w:rsidRDefault="00715867" w:rsidP="00715867">
      <w:pPr>
        <w:pStyle w:val="Akapitzlist"/>
        <w:ind w:left="0"/>
        <w:rPr>
          <w:rFonts w:ascii="Calibri Light" w:hAnsi="Calibri Light"/>
          <w:sz w:val="23"/>
          <w:szCs w:val="23"/>
        </w:rPr>
      </w:pPr>
      <w:r w:rsidRPr="00AF4616">
        <w:rPr>
          <w:rFonts w:ascii="Calibri Light" w:hAnsi="Calibri Light"/>
          <w:sz w:val="23"/>
          <w:szCs w:val="23"/>
        </w:rPr>
        <w:t xml:space="preserve">Poziom rozsądnej marży </w:t>
      </w:r>
      <m:oMath>
        <m:r>
          <w:rPr>
            <w:rFonts w:ascii="Cambria Math" w:hAnsi="Calibri Light"/>
            <w:sz w:val="23"/>
            <w:szCs w:val="23"/>
          </w:rPr>
          <m:t>(</m:t>
        </m:r>
        <m:r>
          <w:rPr>
            <w:rFonts w:ascii="Cambria Math" w:hAnsi="Cambria Math"/>
            <w:sz w:val="23"/>
            <w:szCs w:val="23"/>
          </w:rPr>
          <m:t>RM</m:t>
        </m:r>
      </m:oMath>
      <w:r w:rsidRPr="00AF4616">
        <w:rPr>
          <w:rFonts w:ascii="Calibri Light" w:hAnsi="Calibri Light"/>
          <w:sz w:val="23"/>
          <w:szCs w:val="23"/>
        </w:rPr>
        <w:t xml:space="preserve">) jest równy kosztowi kapitału zaangażowanego w zapewnienie środków trwałych uczestniczących w obsłudze detalicznej </w:t>
      </w:r>
      <w:r w:rsidR="006540FA">
        <w:rPr>
          <w:rFonts w:ascii="Calibri Light" w:hAnsi="Calibri Light"/>
          <w:sz w:val="23"/>
          <w:szCs w:val="23"/>
        </w:rPr>
        <w:t>Abonentów oraz zaangażowanych w </w:t>
      </w:r>
      <w:r w:rsidRPr="00AF4616">
        <w:rPr>
          <w:rFonts w:ascii="Calibri Light" w:hAnsi="Calibri Light"/>
          <w:sz w:val="23"/>
          <w:szCs w:val="23"/>
        </w:rPr>
        <w:t>infrastrukturę sieciową OK. Wzór dla RM przedstawia się następująco:</w:t>
      </w:r>
    </w:p>
    <w:p w:rsidR="00715867" w:rsidRPr="00AF4616" w:rsidRDefault="00715867" w:rsidP="00715867">
      <w:pPr>
        <w:spacing w:before="240" w:after="240"/>
        <w:outlineLvl w:val="1"/>
        <w:rPr>
          <w:rFonts w:ascii="Calibri Light" w:hAnsi="Calibri Light"/>
          <w:sz w:val="23"/>
          <w:szCs w:val="23"/>
        </w:rPr>
      </w:pPr>
      <m:oMathPara>
        <m:oMath>
          <w:bookmarkStart w:id="7" w:name="_Toc494796623"/>
          <m:r>
            <w:rPr>
              <w:rFonts w:ascii="Cambria Math" w:hAnsi="Cambria Math"/>
              <w:sz w:val="23"/>
              <w:szCs w:val="23"/>
            </w:rPr>
            <m:t>RM</m:t>
          </m:r>
          <m:r>
            <w:rPr>
              <w:rFonts w:ascii="Cambria Math" w:hAnsi="Calibri Light"/>
              <w:sz w:val="23"/>
              <w:szCs w:val="23"/>
            </w:rPr>
            <m:t>=</m:t>
          </m:r>
          <m:r>
            <w:rPr>
              <w:rFonts w:ascii="Cambria Math" w:hAnsi="Cambria Math"/>
              <w:sz w:val="23"/>
              <w:szCs w:val="23"/>
            </w:rPr>
            <m:t>NBV</m:t>
          </m:r>
          <m:r>
            <w:rPr>
              <w:rFonts w:ascii="Calibri Light" w:hAnsi="Cambria Math"/>
              <w:sz w:val="23"/>
              <w:szCs w:val="23"/>
            </w:rPr>
            <m:t>*</m:t>
          </m:r>
          <m:r>
            <w:rPr>
              <w:rFonts w:ascii="Cambria Math" w:hAnsi="Cambria Math"/>
              <w:sz w:val="23"/>
              <w:szCs w:val="23"/>
            </w:rPr>
            <m:t>WACC</m:t>
          </m:r>
        </m:oMath>
      </m:oMathPara>
      <w:bookmarkEnd w:id="7"/>
    </w:p>
    <w:sectPr w:rsidR="00715867" w:rsidRPr="00AF4616" w:rsidSect="0082058C">
      <w:headerReference w:type="default" r:id="rId8"/>
      <w:footerReference w:type="default" r:id="rId9"/>
      <w:pgSz w:w="11906" w:h="16838"/>
      <w:pgMar w:top="1140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89" w:rsidRDefault="00FD6289" w:rsidP="00325827">
      <w:pPr>
        <w:spacing w:after="0" w:line="240" w:lineRule="auto"/>
      </w:pPr>
      <w:r>
        <w:separator/>
      </w:r>
    </w:p>
  </w:endnote>
  <w:endnote w:type="continuationSeparator" w:id="0">
    <w:p w:rsidR="00FD6289" w:rsidRDefault="00FD6289" w:rsidP="003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663712"/>
      <w:docPartObj>
        <w:docPartGallery w:val="Page Numbers (Bottom of Page)"/>
        <w:docPartUnique/>
      </w:docPartObj>
    </w:sdtPr>
    <w:sdtEndPr>
      <w:rPr>
        <w:color w:val="4F6228" w:themeColor="accent3" w:themeShade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4F6228" w:themeColor="accent3" w:themeShade="80"/>
          </w:rPr>
        </w:sdtEndPr>
        <w:sdtContent>
          <w:p w:rsidR="0094362F" w:rsidRPr="00AF4616" w:rsidRDefault="005036B8" w:rsidP="00AF4616">
            <w:pPr>
              <w:rPr>
                <w:b/>
                <w:sz w:val="32"/>
                <w:szCs w:val="32"/>
              </w:rPr>
            </w:pPr>
            <w:r w:rsidRPr="005036B8">
              <w:rPr>
                <w:rFonts w:ascii="Calibri Light" w:eastAsia="Calibri" w:hAnsi="Calibri Light" w:cs="Times New Roman"/>
                <w:noProof/>
                <w:color w:val="4A4A49"/>
                <w:sz w:val="18"/>
                <w:szCs w:val="18"/>
              </w:rPr>
              <w:pict>
                <v:line id="Łącznik prosty 1" o:spid="_x0000_s4097" style="position:absolute;z-index:251662336;visibility:visible;mso-wrap-distance-top:-3e-5mm;mso-wrap-distance-bottom:-3e-5mm;mso-position-horizontal-relative:margin;mso-position-vertical-relative:text;mso-width-relative:margin" from="2.75pt,.75pt" to="45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" strokecolor="#c7d540">
                  <o:lock v:ext="edit" shapetype="f"/>
                  <w10:wrap anchorx="margin"/>
                </v:line>
              </w:pict>
            </w:r>
            <w:r w:rsidR="0094362F" w:rsidRPr="00AF4616">
              <w:rPr>
                <w:rFonts w:ascii="Calibri Light" w:eastAsia="Calibri" w:hAnsi="Calibri Light" w:cs="Times New Roman"/>
                <w:color w:val="4A4A49"/>
                <w:sz w:val="18"/>
                <w:szCs w:val="18"/>
                <w:lang w:eastAsia="en-US"/>
              </w:rPr>
              <w:t xml:space="preserve"> </w:t>
            </w:r>
            <w:r w:rsidR="00A564B1">
              <w:rPr>
                <w:rFonts w:ascii="Calibri Light" w:eastAsia="Calibri" w:hAnsi="Calibri Light" w:cs="Times New Roman"/>
                <w:color w:val="4A4A49"/>
                <w:sz w:val="18"/>
                <w:szCs w:val="18"/>
                <w:lang w:eastAsia="en-US"/>
              </w:rPr>
              <w:t>z</w:t>
            </w:r>
            <w:r w:rsidR="00AF4616" w:rsidRPr="00AF4616">
              <w:rPr>
                <w:rFonts w:ascii="Calibri Light" w:eastAsia="Calibri" w:hAnsi="Calibri Light" w:cs="Times New Roman"/>
                <w:color w:val="4A4A49"/>
                <w:sz w:val="18"/>
                <w:szCs w:val="18"/>
                <w:lang w:eastAsia="en-US"/>
              </w:rPr>
              <w:t>as</w:t>
            </w:r>
            <w:r w:rsidR="00A564B1">
              <w:rPr>
                <w:rFonts w:ascii="Calibri Light" w:eastAsia="Calibri" w:hAnsi="Calibri Light" w:cs="Times New Roman"/>
                <w:color w:val="4A4A49"/>
                <w:sz w:val="18"/>
                <w:szCs w:val="18"/>
                <w:lang w:eastAsia="en-US"/>
              </w:rPr>
              <w:t>ady przeprowadzania testu MS</w:t>
            </w:r>
            <w:r w:rsidR="0094362F" w:rsidRPr="003B254A">
              <w:rPr>
                <w:rFonts w:ascii="Calibri Light" w:eastAsia="Calibri" w:hAnsi="Calibri Light" w:cs="Times New Roman"/>
                <w:color w:val="4A4A49"/>
                <w:sz w:val="18"/>
                <w:szCs w:val="18"/>
                <w:lang w:eastAsia="en-US"/>
              </w:rPr>
              <w:ptab w:relativeTo="margin" w:alignment="right" w:leader="none"/>
            </w:r>
            <w:r w:rsidR="0094362F" w:rsidRPr="003B254A">
              <w:rPr>
                <w:rFonts w:ascii="Calibri Light" w:eastAsia="Calibri" w:hAnsi="Calibri Light" w:cs="Times New Roman"/>
                <w:color w:val="4A4A49"/>
                <w:sz w:val="23"/>
                <w:lang w:eastAsia="en-US"/>
              </w:rPr>
              <w:t xml:space="preserve"> </w:t>
            </w:r>
            <w:sdt>
              <w:sdtPr>
                <w:rPr>
                  <w:rFonts w:ascii="Calibri Light" w:eastAsia="Calibri" w:hAnsi="Calibri Light" w:cs="Times New Roman"/>
                  <w:color w:val="4A4A49"/>
                  <w:sz w:val="23"/>
                  <w:lang w:eastAsia="en-US"/>
                </w:rPr>
                <w:id w:val="353963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  <w:szCs w:val="18"/>
                </w:rPr>
              </w:sdtEndPr>
              <w:sdtContent>
                <w:r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fldChar w:fldCharType="begin"/>
                </w:r>
                <w:r w:rsidR="0094362F"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instrText>PAGE</w:instrText>
                </w:r>
                <w:r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fldChar w:fldCharType="separate"/>
                </w:r>
                <w:r w:rsidR="00201EA2">
                  <w:rPr>
                    <w:rFonts w:ascii="Calibri Light" w:eastAsia="Calibri" w:hAnsi="Calibri Light" w:cs="Times New Roman"/>
                    <w:b/>
                    <w:bCs/>
                    <w:noProof/>
                    <w:color w:val="4A4A49"/>
                    <w:sz w:val="18"/>
                    <w:szCs w:val="18"/>
                    <w:lang w:eastAsia="en-US"/>
                  </w:rPr>
                  <w:t>6</w:t>
                </w:r>
                <w:r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fldChar w:fldCharType="end"/>
                </w:r>
                <w:r w:rsidR="0094362F" w:rsidRPr="003B254A">
                  <w:rPr>
                    <w:rFonts w:ascii="Calibri Light" w:eastAsia="Calibri" w:hAnsi="Calibri Light" w:cs="Times New Roman"/>
                    <w:color w:val="4A4A49"/>
                    <w:sz w:val="18"/>
                    <w:szCs w:val="18"/>
                    <w:lang w:eastAsia="en-US"/>
                  </w:rPr>
                  <w:t xml:space="preserve"> / </w:t>
                </w:r>
                <w:r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fldChar w:fldCharType="begin"/>
                </w:r>
                <w:r w:rsidR="0094362F"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instrText>NUMPAGES</w:instrText>
                </w:r>
                <w:r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fldChar w:fldCharType="separate"/>
                </w:r>
                <w:r w:rsidR="00201EA2">
                  <w:rPr>
                    <w:rFonts w:ascii="Calibri Light" w:eastAsia="Calibri" w:hAnsi="Calibri Light" w:cs="Times New Roman"/>
                    <w:b/>
                    <w:bCs/>
                    <w:noProof/>
                    <w:color w:val="4A4A49"/>
                    <w:sz w:val="18"/>
                    <w:szCs w:val="18"/>
                    <w:lang w:eastAsia="en-US"/>
                  </w:rPr>
                  <w:t>6</w:t>
                </w:r>
                <w:r w:rsidRPr="003B254A">
                  <w:rPr>
                    <w:rFonts w:ascii="Calibri Light" w:eastAsia="Calibri" w:hAnsi="Calibri Light" w:cs="Times New Roman"/>
                    <w:b/>
                    <w:bCs/>
                    <w:color w:val="4A4A49"/>
                    <w:sz w:val="18"/>
                    <w:szCs w:val="18"/>
                    <w:lang w:eastAsia="en-US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89" w:rsidRDefault="00FD6289" w:rsidP="00325827">
      <w:pPr>
        <w:spacing w:after="0" w:line="240" w:lineRule="auto"/>
      </w:pPr>
      <w:r>
        <w:separator/>
      </w:r>
    </w:p>
  </w:footnote>
  <w:footnote w:type="continuationSeparator" w:id="0">
    <w:p w:rsidR="00FD6289" w:rsidRDefault="00FD6289" w:rsidP="00325827">
      <w:pPr>
        <w:spacing w:after="0" w:line="240" w:lineRule="auto"/>
      </w:pPr>
      <w:r>
        <w:continuationSeparator/>
      </w:r>
    </w:p>
  </w:footnote>
  <w:footnote w:id="1">
    <w:p w:rsidR="006540FA" w:rsidRPr="006540FA" w:rsidRDefault="006540FA" w:rsidP="006540FA">
      <w:pPr>
        <w:pStyle w:val="Tekstprzypisudolnego"/>
        <w:rPr>
          <w:rFonts w:ascii="Calibri Light" w:hAnsi="Calibri Light"/>
          <w:b/>
          <w:sz w:val="16"/>
          <w:szCs w:val="16"/>
        </w:rPr>
      </w:pPr>
      <w:r w:rsidRPr="006540FA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6540FA">
        <w:rPr>
          <w:rFonts w:ascii="Calibri Light" w:hAnsi="Calibri Light"/>
          <w:sz w:val="16"/>
          <w:szCs w:val="16"/>
        </w:rPr>
        <w:t xml:space="preserve"> https://cppc.gov.pl/wp-content/uploads/Za%C5%82%C4%85cznik-8-Wymagania-dla-sieci-NGA-POPC1.pdf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2F" w:rsidRDefault="0094362F" w:rsidP="00DE1E4D">
    <w:r>
      <w:rPr>
        <w:noProof/>
      </w:rPr>
      <w:drawing>
        <wp:inline distT="0" distB="0" distL="0" distR="0">
          <wp:extent cx="5760720" cy="1087120"/>
          <wp:effectExtent l="19050" t="0" r="0" b="0"/>
          <wp:docPr id="2" name="Obraz 1" descr="logo z nazwą czarny 85 procent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zwą czarny 85 procent (4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A5"/>
    <w:multiLevelType w:val="hybridMultilevel"/>
    <w:tmpl w:val="FE5810D2"/>
    <w:lvl w:ilvl="0" w:tplc="36C8E508">
      <w:start w:val="1"/>
      <w:numFmt w:val="decimal"/>
      <w:pStyle w:val="Nagwek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037E8"/>
    <w:multiLevelType w:val="multilevel"/>
    <w:tmpl w:val="266AF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A671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CD04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36123B"/>
    <w:multiLevelType w:val="hybridMultilevel"/>
    <w:tmpl w:val="06C4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B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0237F3"/>
    <w:multiLevelType w:val="hybridMultilevel"/>
    <w:tmpl w:val="BA8E80B2"/>
    <w:lvl w:ilvl="0" w:tplc="B43E584A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D71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AF342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>
      <o:colormru v:ext="edit" colors="#039,#009,#339"/>
      <o:colormenu v:ext="edit" fillcolor="none" strokecolor="none [3215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5827"/>
    <w:rsid w:val="00004734"/>
    <w:rsid w:val="00013A85"/>
    <w:rsid w:val="00014863"/>
    <w:rsid w:val="00020053"/>
    <w:rsid w:val="000221A9"/>
    <w:rsid w:val="00023665"/>
    <w:rsid w:val="0002590F"/>
    <w:rsid w:val="00032AFB"/>
    <w:rsid w:val="00032CAA"/>
    <w:rsid w:val="00034F02"/>
    <w:rsid w:val="000500A9"/>
    <w:rsid w:val="00053851"/>
    <w:rsid w:val="00053F82"/>
    <w:rsid w:val="000553F2"/>
    <w:rsid w:val="00071FAC"/>
    <w:rsid w:val="00073917"/>
    <w:rsid w:val="00077C97"/>
    <w:rsid w:val="000838F4"/>
    <w:rsid w:val="000871A1"/>
    <w:rsid w:val="00095663"/>
    <w:rsid w:val="000A0823"/>
    <w:rsid w:val="000A119A"/>
    <w:rsid w:val="000B0193"/>
    <w:rsid w:val="000C021E"/>
    <w:rsid w:val="000C2783"/>
    <w:rsid w:val="000C7AFE"/>
    <w:rsid w:val="000D30A5"/>
    <w:rsid w:val="000D4F73"/>
    <w:rsid w:val="000D7644"/>
    <w:rsid w:val="000E1BE4"/>
    <w:rsid w:val="000E6EE7"/>
    <w:rsid w:val="000F02C7"/>
    <w:rsid w:val="000F19B1"/>
    <w:rsid w:val="000F3E4F"/>
    <w:rsid w:val="00111AA5"/>
    <w:rsid w:val="00114D69"/>
    <w:rsid w:val="00116805"/>
    <w:rsid w:val="00117E8E"/>
    <w:rsid w:val="00122B7D"/>
    <w:rsid w:val="001269AF"/>
    <w:rsid w:val="001278F3"/>
    <w:rsid w:val="001404EA"/>
    <w:rsid w:val="00141437"/>
    <w:rsid w:val="0014204D"/>
    <w:rsid w:val="001514E4"/>
    <w:rsid w:val="00160281"/>
    <w:rsid w:val="0016083B"/>
    <w:rsid w:val="00162531"/>
    <w:rsid w:val="001625DF"/>
    <w:rsid w:val="00174164"/>
    <w:rsid w:val="00181AEF"/>
    <w:rsid w:val="00183913"/>
    <w:rsid w:val="001937DA"/>
    <w:rsid w:val="00194E26"/>
    <w:rsid w:val="0019568E"/>
    <w:rsid w:val="00197B64"/>
    <w:rsid w:val="001A1F58"/>
    <w:rsid w:val="001A386D"/>
    <w:rsid w:val="001A70ED"/>
    <w:rsid w:val="001B0182"/>
    <w:rsid w:val="001B5880"/>
    <w:rsid w:val="001B771A"/>
    <w:rsid w:val="001C2ACC"/>
    <w:rsid w:val="001C673E"/>
    <w:rsid w:val="001D7954"/>
    <w:rsid w:val="001E3D31"/>
    <w:rsid w:val="001E512F"/>
    <w:rsid w:val="001E5F0E"/>
    <w:rsid w:val="001F6C56"/>
    <w:rsid w:val="00201EA2"/>
    <w:rsid w:val="00205D3B"/>
    <w:rsid w:val="00207C73"/>
    <w:rsid w:val="00211F96"/>
    <w:rsid w:val="0021462E"/>
    <w:rsid w:val="00215E77"/>
    <w:rsid w:val="00217036"/>
    <w:rsid w:val="00224CEB"/>
    <w:rsid w:val="00227E7A"/>
    <w:rsid w:val="002301CA"/>
    <w:rsid w:val="00234652"/>
    <w:rsid w:val="002470CE"/>
    <w:rsid w:val="002514A1"/>
    <w:rsid w:val="002515EA"/>
    <w:rsid w:val="0025476A"/>
    <w:rsid w:val="00264915"/>
    <w:rsid w:val="002663B1"/>
    <w:rsid w:val="002731A0"/>
    <w:rsid w:val="00282A72"/>
    <w:rsid w:val="00284B93"/>
    <w:rsid w:val="0028516D"/>
    <w:rsid w:val="002908E5"/>
    <w:rsid w:val="0029358B"/>
    <w:rsid w:val="00297AFD"/>
    <w:rsid w:val="002A15A2"/>
    <w:rsid w:val="002A6961"/>
    <w:rsid w:val="002B50C2"/>
    <w:rsid w:val="002C63F6"/>
    <w:rsid w:val="002D0A15"/>
    <w:rsid w:val="002D3A12"/>
    <w:rsid w:val="002E11A3"/>
    <w:rsid w:val="002E5B2F"/>
    <w:rsid w:val="002E7ABA"/>
    <w:rsid w:val="002F505A"/>
    <w:rsid w:val="002F5197"/>
    <w:rsid w:val="002F6D1D"/>
    <w:rsid w:val="00301019"/>
    <w:rsid w:val="00304C56"/>
    <w:rsid w:val="00313F07"/>
    <w:rsid w:val="003170EF"/>
    <w:rsid w:val="003207B8"/>
    <w:rsid w:val="00323910"/>
    <w:rsid w:val="00325827"/>
    <w:rsid w:val="0033085F"/>
    <w:rsid w:val="00342E5D"/>
    <w:rsid w:val="0034630F"/>
    <w:rsid w:val="0034714F"/>
    <w:rsid w:val="00357946"/>
    <w:rsid w:val="003632D5"/>
    <w:rsid w:val="00364969"/>
    <w:rsid w:val="003667E1"/>
    <w:rsid w:val="003668DE"/>
    <w:rsid w:val="003669ED"/>
    <w:rsid w:val="0037642B"/>
    <w:rsid w:val="0038305A"/>
    <w:rsid w:val="00385880"/>
    <w:rsid w:val="00385E10"/>
    <w:rsid w:val="00390B6B"/>
    <w:rsid w:val="003947F4"/>
    <w:rsid w:val="003978C0"/>
    <w:rsid w:val="003A258C"/>
    <w:rsid w:val="003A2E79"/>
    <w:rsid w:val="003B0AEE"/>
    <w:rsid w:val="003B1682"/>
    <w:rsid w:val="003B254A"/>
    <w:rsid w:val="003C350C"/>
    <w:rsid w:val="003C711E"/>
    <w:rsid w:val="003D11C2"/>
    <w:rsid w:val="003D2A0B"/>
    <w:rsid w:val="003D38DC"/>
    <w:rsid w:val="003D39CA"/>
    <w:rsid w:val="003D45E4"/>
    <w:rsid w:val="003D4E7A"/>
    <w:rsid w:val="003E3770"/>
    <w:rsid w:val="003E4747"/>
    <w:rsid w:val="003F00ED"/>
    <w:rsid w:val="003F3C6F"/>
    <w:rsid w:val="00400151"/>
    <w:rsid w:val="00400C37"/>
    <w:rsid w:val="00402B57"/>
    <w:rsid w:val="004069C6"/>
    <w:rsid w:val="00411490"/>
    <w:rsid w:val="00411713"/>
    <w:rsid w:val="00422865"/>
    <w:rsid w:val="004311D6"/>
    <w:rsid w:val="004449C7"/>
    <w:rsid w:val="00456A0F"/>
    <w:rsid w:val="00460E02"/>
    <w:rsid w:val="00462EE3"/>
    <w:rsid w:val="004676A1"/>
    <w:rsid w:val="00470C40"/>
    <w:rsid w:val="00475B5E"/>
    <w:rsid w:val="00476239"/>
    <w:rsid w:val="00496EE7"/>
    <w:rsid w:val="004970E9"/>
    <w:rsid w:val="004A0D3A"/>
    <w:rsid w:val="004A3477"/>
    <w:rsid w:val="004A4DC9"/>
    <w:rsid w:val="004A5980"/>
    <w:rsid w:val="004B1EF1"/>
    <w:rsid w:val="004B2622"/>
    <w:rsid w:val="004B298D"/>
    <w:rsid w:val="004B2DA9"/>
    <w:rsid w:val="004B45FE"/>
    <w:rsid w:val="004B6C5F"/>
    <w:rsid w:val="004C4FAC"/>
    <w:rsid w:val="004C58FE"/>
    <w:rsid w:val="004D0705"/>
    <w:rsid w:val="004D15C6"/>
    <w:rsid w:val="004D55FC"/>
    <w:rsid w:val="004D5694"/>
    <w:rsid w:val="004D63E9"/>
    <w:rsid w:val="004E2E26"/>
    <w:rsid w:val="004E50D9"/>
    <w:rsid w:val="004E6D75"/>
    <w:rsid w:val="004F1B1C"/>
    <w:rsid w:val="004F36AC"/>
    <w:rsid w:val="004F77A6"/>
    <w:rsid w:val="00501F08"/>
    <w:rsid w:val="005036B8"/>
    <w:rsid w:val="00504CA1"/>
    <w:rsid w:val="005113C8"/>
    <w:rsid w:val="0051793F"/>
    <w:rsid w:val="00521F16"/>
    <w:rsid w:val="00531BAE"/>
    <w:rsid w:val="00535560"/>
    <w:rsid w:val="0053664F"/>
    <w:rsid w:val="00536A0C"/>
    <w:rsid w:val="005543CC"/>
    <w:rsid w:val="00557708"/>
    <w:rsid w:val="00561589"/>
    <w:rsid w:val="005672E2"/>
    <w:rsid w:val="00570B7A"/>
    <w:rsid w:val="005720AA"/>
    <w:rsid w:val="0057406A"/>
    <w:rsid w:val="00575731"/>
    <w:rsid w:val="0059076A"/>
    <w:rsid w:val="00591ECB"/>
    <w:rsid w:val="005927DB"/>
    <w:rsid w:val="005950AB"/>
    <w:rsid w:val="005A07EC"/>
    <w:rsid w:val="005A4AC3"/>
    <w:rsid w:val="005A7BA8"/>
    <w:rsid w:val="005C0243"/>
    <w:rsid w:val="005C2ADC"/>
    <w:rsid w:val="005C36AD"/>
    <w:rsid w:val="005C396F"/>
    <w:rsid w:val="005C699F"/>
    <w:rsid w:val="005C77FE"/>
    <w:rsid w:val="005D18B1"/>
    <w:rsid w:val="005D454D"/>
    <w:rsid w:val="005E1FC2"/>
    <w:rsid w:val="005E44F6"/>
    <w:rsid w:val="00602FF1"/>
    <w:rsid w:val="00616265"/>
    <w:rsid w:val="00617D7E"/>
    <w:rsid w:val="0062277C"/>
    <w:rsid w:val="00622E17"/>
    <w:rsid w:val="00625ED7"/>
    <w:rsid w:val="00633772"/>
    <w:rsid w:val="006379A6"/>
    <w:rsid w:val="006411AA"/>
    <w:rsid w:val="00647CAA"/>
    <w:rsid w:val="00647D46"/>
    <w:rsid w:val="00651F49"/>
    <w:rsid w:val="006540FA"/>
    <w:rsid w:val="006560BA"/>
    <w:rsid w:val="006578C9"/>
    <w:rsid w:val="006616EF"/>
    <w:rsid w:val="00661ABF"/>
    <w:rsid w:val="00661C25"/>
    <w:rsid w:val="0066346E"/>
    <w:rsid w:val="00663497"/>
    <w:rsid w:val="00666DA4"/>
    <w:rsid w:val="00667B70"/>
    <w:rsid w:val="00671C6B"/>
    <w:rsid w:val="00673A67"/>
    <w:rsid w:val="00673C75"/>
    <w:rsid w:val="006740CB"/>
    <w:rsid w:val="00683A1E"/>
    <w:rsid w:val="00692A03"/>
    <w:rsid w:val="006A1F07"/>
    <w:rsid w:val="006A3192"/>
    <w:rsid w:val="006B0455"/>
    <w:rsid w:val="006B5E46"/>
    <w:rsid w:val="006C3311"/>
    <w:rsid w:val="006C5E38"/>
    <w:rsid w:val="006C6EAF"/>
    <w:rsid w:val="006D0933"/>
    <w:rsid w:val="006D0D57"/>
    <w:rsid w:val="006D27F8"/>
    <w:rsid w:val="006D3D54"/>
    <w:rsid w:val="006D6C8B"/>
    <w:rsid w:val="006E68C6"/>
    <w:rsid w:val="006E77A6"/>
    <w:rsid w:val="006F7AF8"/>
    <w:rsid w:val="00704891"/>
    <w:rsid w:val="007051BB"/>
    <w:rsid w:val="00707520"/>
    <w:rsid w:val="00710011"/>
    <w:rsid w:val="007131DA"/>
    <w:rsid w:val="00715867"/>
    <w:rsid w:val="0071727F"/>
    <w:rsid w:val="0072619B"/>
    <w:rsid w:val="0074338C"/>
    <w:rsid w:val="00752B98"/>
    <w:rsid w:val="00754BDC"/>
    <w:rsid w:val="00761C36"/>
    <w:rsid w:val="007663AB"/>
    <w:rsid w:val="0076709D"/>
    <w:rsid w:val="00773FC8"/>
    <w:rsid w:val="00774F18"/>
    <w:rsid w:val="00775761"/>
    <w:rsid w:val="007840A1"/>
    <w:rsid w:val="00786521"/>
    <w:rsid w:val="00790180"/>
    <w:rsid w:val="00793713"/>
    <w:rsid w:val="007978A5"/>
    <w:rsid w:val="00797EF4"/>
    <w:rsid w:val="007A2184"/>
    <w:rsid w:val="007A331D"/>
    <w:rsid w:val="007A60B5"/>
    <w:rsid w:val="007B2175"/>
    <w:rsid w:val="007B4971"/>
    <w:rsid w:val="007C0559"/>
    <w:rsid w:val="007D05EF"/>
    <w:rsid w:val="007D2310"/>
    <w:rsid w:val="007D4C59"/>
    <w:rsid w:val="007E1DAD"/>
    <w:rsid w:val="007E3B19"/>
    <w:rsid w:val="007E6B7E"/>
    <w:rsid w:val="007F4665"/>
    <w:rsid w:val="007F51E1"/>
    <w:rsid w:val="007F6BA1"/>
    <w:rsid w:val="00802651"/>
    <w:rsid w:val="00803158"/>
    <w:rsid w:val="00803EB5"/>
    <w:rsid w:val="00806295"/>
    <w:rsid w:val="00810FAA"/>
    <w:rsid w:val="0082058C"/>
    <w:rsid w:val="00826E6A"/>
    <w:rsid w:val="00830413"/>
    <w:rsid w:val="008341E0"/>
    <w:rsid w:val="00836D15"/>
    <w:rsid w:val="008403EF"/>
    <w:rsid w:val="008403F4"/>
    <w:rsid w:val="00845BBB"/>
    <w:rsid w:val="00846323"/>
    <w:rsid w:val="00847606"/>
    <w:rsid w:val="00851343"/>
    <w:rsid w:val="00851A0B"/>
    <w:rsid w:val="008522E7"/>
    <w:rsid w:val="00853920"/>
    <w:rsid w:val="0085465F"/>
    <w:rsid w:val="008546CB"/>
    <w:rsid w:val="00856092"/>
    <w:rsid w:val="008628FB"/>
    <w:rsid w:val="00864696"/>
    <w:rsid w:val="00866B54"/>
    <w:rsid w:val="008676FF"/>
    <w:rsid w:val="00870AF9"/>
    <w:rsid w:val="00870BDC"/>
    <w:rsid w:val="008722B6"/>
    <w:rsid w:val="00876CA1"/>
    <w:rsid w:val="008801DC"/>
    <w:rsid w:val="00883439"/>
    <w:rsid w:val="00884D5C"/>
    <w:rsid w:val="00885443"/>
    <w:rsid w:val="00891B31"/>
    <w:rsid w:val="00894027"/>
    <w:rsid w:val="008944B1"/>
    <w:rsid w:val="00897316"/>
    <w:rsid w:val="00897AB2"/>
    <w:rsid w:val="008A2887"/>
    <w:rsid w:val="008A6D51"/>
    <w:rsid w:val="008B4F9E"/>
    <w:rsid w:val="008C2F6F"/>
    <w:rsid w:val="008C369B"/>
    <w:rsid w:val="008C4B62"/>
    <w:rsid w:val="008C66EA"/>
    <w:rsid w:val="008C6C64"/>
    <w:rsid w:val="008D2261"/>
    <w:rsid w:val="008D24BB"/>
    <w:rsid w:val="008D4DAE"/>
    <w:rsid w:val="008D5ADD"/>
    <w:rsid w:val="008E317F"/>
    <w:rsid w:val="008E4D13"/>
    <w:rsid w:val="008E7823"/>
    <w:rsid w:val="008E7D9A"/>
    <w:rsid w:val="008F0C1E"/>
    <w:rsid w:val="008F1BC3"/>
    <w:rsid w:val="008F69CC"/>
    <w:rsid w:val="0090339E"/>
    <w:rsid w:val="00910375"/>
    <w:rsid w:val="00910855"/>
    <w:rsid w:val="009119BF"/>
    <w:rsid w:val="00912A5D"/>
    <w:rsid w:val="00912D01"/>
    <w:rsid w:val="009144E2"/>
    <w:rsid w:val="00920A1C"/>
    <w:rsid w:val="00923FF6"/>
    <w:rsid w:val="0092718E"/>
    <w:rsid w:val="00930DEB"/>
    <w:rsid w:val="00932D00"/>
    <w:rsid w:val="0094362F"/>
    <w:rsid w:val="00943D78"/>
    <w:rsid w:val="00945949"/>
    <w:rsid w:val="00947DAB"/>
    <w:rsid w:val="00950C0E"/>
    <w:rsid w:val="0095282C"/>
    <w:rsid w:val="00954CF9"/>
    <w:rsid w:val="00961B4D"/>
    <w:rsid w:val="009642E8"/>
    <w:rsid w:val="009733AB"/>
    <w:rsid w:val="009753D1"/>
    <w:rsid w:val="00977F9D"/>
    <w:rsid w:val="00982A23"/>
    <w:rsid w:val="00995B36"/>
    <w:rsid w:val="009A2A30"/>
    <w:rsid w:val="009A34E2"/>
    <w:rsid w:val="009A4243"/>
    <w:rsid w:val="009A4630"/>
    <w:rsid w:val="009C34F4"/>
    <w:rsid w:val="009C532F"/>
    <w:rsid w:val="009C6301"/>
    <w:rsid w:val="009E4A1F"/>
    <w:rsid w:val="009E529B"/>
    <w:rsid w:val="009F1B36"/>
    <w:rsid w:val="009F1D76"/>
    <w:rsid w:val="009F2945"/>
    <w:rsid w:val="009F3B2E"/>
    <w:rsid w:val="00A008C6"/>
    <w:rsid w:val="00A11A8E"/>
    <w:rsid w:val="00A143F5"/>
    <w:rsid w:val="00A148A3"/>
    <w:rsid w:val="00A16833"/>
    <w:rsid w:val="00A30253"/>
    <w:rsid w:val="00A30651"/>
    <w:rsid w:val="00A31F38"/>
    <w:rsid w:val="00A33EB0"/>
    <w:rsid w:val="00A34B08"/>
    <w:rsid w:val="00A40D3C"/>
    <w:rsid w:val="00A51E75"/>
    <w:rsid w:val="00A545A5"/>
    <w:rsid w:val="00A564B1"/>
    <w:rsid w:val="00A629B9"/>
    <w:rsid w:val="00A62DC1"/>
    <w:rsid w:val="00A65FE3"/>
    <w:rsid w:val="00A73E6B"/>
    <w:rsid w:val="00A8056F"/>
    <w:rsid w:val="00A82453"/>
    <w:rsid w:val="00A83EF5"/>
    <w:rsid w:val="00A8676E"/>
    <w:rsid w:val="00A91672"/>
    <w:rsid w:val="00A93453"/>
    <w:rsid w:val="00A95D04"/>
    <w:rsid w:val="00A962B0"/>
    <w:rsid w:val="00AB167F"/>
    <w:rsid w:val="00AB3270"/>
    <w:rsid w:val="00AC04EB"/>
    <w:rsid w:val="00AC1AFB"/>
    <w:rsid w:val="00AC563B"/>
    <w:rsid w:val="00AD1265"/>
    <w:rsid w:val="00AD2D57"/>
    <w:rsid w:val="00AD3267"/>
    <w:rsid w:val="00AD381C"/>
    <w:rsid w:val="00AD5346"/>
    <w:rsid w:val="00AE2DBE"/>
    <w:rsid w:val="00AE3133"/>
    <w:rsid w:val="00AE45F6"/>
    <w:rsid w:val="00AF11B4"/>
    <w:rsid w:val="00AF4616"/>
    <w:rsid w:val="00B00A72"/>
    <w:rsid w:val="00B075AC"/>
    <w:rsid w:val="00B247E7"/>
    <w:rsid w:val="00B27BD5"/>
    <w:rsid w:val="00B319C5"/>
    <w:rsid w:val="00B4343F"/>
    <w:rsid w:val="00B4562E"/>
    <w:rsid w:val="00B50095"/>
    <w:rsid w:val="00B51C97"/>
    <w:rsid w:val="00B65DC0"/>
    <w:rsid w:val="00B6610A"/>
    <w:rsid w:val="00B67047"/>
    <w:rsid w:val="00B735EA"/>
    <w:rsid w:val="00B7568F"/>
    <w:rsid w:val="00B7791F"/>
    <w:rsid w:val="00B90BFC"/>
    <w:rsid w:val="00B91A9F"/>
    <w:rsid w:val="00B9235C"/>
    <w:rsid w:val="00B932D0"/>
    <w:rsid w:val="00B936A7"/>
    <w:rsid w:val="00B97A7A"/>
    <w:rsid w:val="00BA02B7"/>
    <w:rsid w:val="00BA378A"/>
    <w:rsid w:val="00BB0FB0"/>
    <w:rsid w:val="00BC389C"/>
    <w:rsid w:val="00BC613E"/>
    <w:rsid w:val="00BD1DDE"/>
    <w:rsid w:val="00BE034F"/>
    <w:rsid w:val="00BE15B6"/>
    <w:rsid w:val="00BE590E"/>
    <w:rsid w:val="00BE6798"/>
    <w:rsid w:val="00BF01A3"/>
    <w:rsid w:val="00BF7164"/>
    <w:rsid w:val="00C122BF"/>
    <w:rsid w:val="00C126DF"/>
    <w:rsid w:val="00C13D6C"/>
    <w:rsid w:val="00C16D95"/>
    <w:rsid w:val="00C2551B"/>
    <w:rsid w:val="00C26777"/>
    <w:rsid w:val="00C27963"/>
    <w:rsid w:val="00C30773"/>
    <w:rsid w:val="00C3131E"/>
    <w:rsid w:val="00C32125"/>
    <w:rsid w:val="00C36071"/>
    <w:rsid w:val="00C401ED"/>
    <w:rsid w:val="00C452AF"/>
    <w:rsid w:val="00C53F88"/>
    <w:rsid w:val="00C54114"/>
    <w:rsid w:val="00C54AF9"/>
    <w:rsid w:val="00C561CB"/>
    <w:rsid w:val="00C604FD"/>
    <w:rsid w:val="00C7078E"/>
    <w:rsid w:val="00C746DE"/>
    <w:rsid w:val="00C90319"/>
    <w:rsid w:val="00CA0C4D"/>
    <w:rsid w:val="00CA4719"/>
    <w:rsid w:val="00CC2B08"/>
    <w:rsid w:val="00CC5B90"/>
    <w:rsid w:val="00CD28D4"/>
    <w:rsid w:val="00CD41FC"/>
    <w:rsid w:val="00CD530C"/>
    <w:rsid w:val="00CE2B54"/>
    <w:rsid w:val="00CE5712"/>
    <w:rsid w:val="00CE7E7D"/>
    <w:rsid w:val="00CF309C"/>
    <w:rsid w:val="00CF605D"/>
    <w:rsid w:val="00D02D00"/>
    <w:rsid w:val="00D16813"/>
    <w:rsid w:val="00D25DD6"/>
    <w:rsid w:val="00D267B5"/>
    <w:rsid w:val="00D3145F"/>
    <w:rsid w:val="00D37FEB"/>
    <w:rsid w:val="00D53127"/>
    <w:rsid w:val="00D61300"/>
    <w:rsid w:val="00D62216"/>
    <w:rsid w:val="00D628AA"/>
    <w:rsid w:val="00D66D0D"/>
    <w:rsid w:val="00D67394"/>
    <w:rsid w:val="00D70185"/>
    <w:rsid w:val="00D71D0E"/>
    <w:rsid w:val="00D72801"/>
    <w:rsid w:val="00D72ED3"/>
    <w:rsid w:val="00D7368E"/>
    <w:rsid w:val="00D737C1"/>
    <w:rsid w:val="00D75195"/>
    <w:rsid w:val="00D8113F"/>
    <w:rsid w:val="00D84EB9"/>
    <w:rsid w:val="00D859D5"/>
    <w:rsid w:val="00D864B5"/>
    <w:rsid w:val="00D92346"/>
    <w:rsid w:val="00D926A8"/>
    <w:rsid w:val="00D94C61"/>
    <w:rsid w:val="00DA0227"/>
    <w:rsid w:val="00DA355B"/>
    <w:rsid w:val="00DB303E"/>
    <w:rsid w:val="00DB3716"/>
    <w:rsid w:val="00DB5396"/>
    <w:rsid w:val="00DB6DF1"/>
    <w:rsid w:val="00DD0FA0"/>
    <w:rsid w:val="00DD3563"/>
    <w:rsid w:val="00DE1E4D"/>
    <w:rsid w:val="00DE2AD8"/>
    <w:rsid w:val="00DF017C"/>
    <w:rsid w:val="00DF505B"/>
    <w:rsid w:val="00DF599F"/>
    <w:rsid w:val="00DF779B"/>
    <w:rsid w:val="00E06A2F"/>
    <w:rsid w:val="00E06F4B"/>
    <w:rsid w:val="00E1468F"/>
    <w:rsid w:val="00E2033E"/>
    <w:rsid w:val="00E22AD8"/>
    <w:rsid w:val="00E2380B"/>
    <w:rsid w:val="00E26729"/>
    <w:rsid w:val="00E27968"/>
    <w:rsid w:val="00E34C45"/>
    <w:rsid w:val="00E37497"/>
    <w:rsid w:val="00E43C76"/>
    <w:rsid w:val="00E525C8"/>
    <w:rsid w:val="00E52770"/>
    <w:rsid w:val="00E548C8"/>
    <w:rsid w:val="00E55A5E"/>
    <w:rsid w:val="00E638DD"/>
    <w:rsid w:val="00E66E3B"/>
    <w:rsid w:val="00E711D1"/>
    <w:rsid w:val="00E75E52"/>
    <w:rsid w:val="00E8349D"/>
    <w:rsid w:val="00E85E87"/>
    <w:rsid w:val="00E86161"/>
    <w:rsid w:val="00E950F8"/>
    <w:rsid w:val="00E96E19"/>
    <w:rsid w:val="00E96F59"/>
    <w:rsid w:val="00EA2295"/>
    <w:rsid w:val="00EB3B3D"/>
    <w:rsid w:val="00EB450F"/>
    <w:rsid w:val="00EC1962"/>
    <w:rsid w:val="00EC1C45"/>
    <w:rsid w:val="00EC2B79"/>
    <w:rsid w:val="00EE3D69"/>
    <w:rsid w:val="00EE48FB"/>
    <w:rsid w:val="00EE5E36"/>
    <w:rsid w:val="00EE66F9"/>
    <w:rsid w:val="00EF2171"/>
    <w:rsid w:val="00EF5A52"/>
    <w:rsid w:val="00F04FA1"/>
    <w:rsid w:val="00F10ABF"/>
    <w:rsid w:val="00F113EA"/>
    <w:rsid w:val="00F2175A"/>
    <w:rsid w:val="00F24069"/>
    <w:rsid w:val="00F2679F"/>
    <w:rsid w:val="00F30EF5"/>
    <w:rsid w:val="00F328CB"/>
    <w:rsid w:val="00F4232B"/>
    <w:rsid w:val="00F51821"/>
    <w:rsid w:val="00F55877"/>
    <w:rsid w:val="00F604AE"/>
    <w:rsid w:val="00F6391E"/>
    <w:rsid w:val="00F64EA3"/>
    <w:rsid w:val="00F714AF"/>
    <w:rsid w:val="00F7410A"/>
    <w:rsid w:val="00F76889"/>
    <w:rsid w:val="00F84447"/>
    <w:rsid w:val="00F903F8"/>
    <w:rsid w:val="00F91DBC"/>
    <w:rsid w:val="00F93899"/>
    <w:rsid w:val="00F945B1"/>
    <w:rsid w:val="00F95B18"/>
    <w:rsid w:val="00F96E1E"/>
    <w:rsid w:val="00FA4FDD"/>
    <w:rsid w:val="00FA66FB"/>
    <w:rsid w:val="00FC42B4"/>
    <w:rsid w:val="00FC50A4"/>
    <w:rsid w:val="00FD6289"/>
    <w:rsid w:val="00FD6480"/>
    <w:rsid w:val="00FE0CC2"/>
    <w:rsid w:val="00FE1786"/>
    <w:rsid w:val="00FF3366"/>
    <w:rsid w:val="00FF3AFC"/>
    <w:rsid w:val="00FF406E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39,#009,#339"/>
      <o:colormenu v:ext="edit" fillcolor="non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91"/>
  </w:style>
  <w:style w:type="paragraph" w:styleId="Nagwek1">
    <w:name w:val="heading 1"/>
    <w:basedOn w:val="Normalny"/>
    <w:next w:val="Normalny"/>
    <w:link w:val="Nagwek1Znak"/>
    <w:uiPriority w:val="9"/>
    <w:qFormat/>
    <w:rsid w:val="0071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F18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58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2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258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2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27"/>
    <w:rPr>
      <w:rFonts w:eastAsiaTheme="minorEastAsia"/>
      <w:lang w:eastAsia="pl-PL"/>
    </w:rPr>
  </w:style>
  <w:style w:type="paragraph" w:customStyle="1" w:styleId="Default">
    <w:name w:val="Default"/>
    <w:rsid w:val="00325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49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E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E4D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91A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91A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A9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91A9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91A9F"/>
    <w:rPr>
      <w:sz w:val="20"/>
      <w:szCs w:val="20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3B254A"/>
    <w:pPr>
      <w:keepNext/>
      <w:keepLines/>
      <w:numPr>
        <w:numId w:val="2"/>
      </w:numPr>
      <w:spacing w:before="40" w:after="0" w:line="259" w:lineRule="auto"/>
      <w:ind w:left="1080"/>
      <w:outlineLvl w:val="1"/>
    </w:pPr>
    <w:rPr>
      <w:rFonts w:ascii="Calibri Light" w:eastAsia="Times New Roman" w:hAnsi="Calibri Light" w:cs="Times New Roman"/>
      <w:color w:val="31418D"/>
      <w:sz w:val="28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7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D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604F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715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8D04-8F89-42AE-A2E8-5A4F805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Komunikacji Elektronicznej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Lenarczyk Hubert</dc:creator>
  <cp:lastModifiedBy>Beata Wesolowska</cp:lastModifiedBy>
  <cp:revision>2</cp:revision>
  <cp:lastPrinted>2017-12-14T11:15:00Z</cp:lastPrinted>
  <dcterms:created xsi:type="dcterms:W3CDTF">2018-04-09T10:01:00Z</dcterms:created>
  <dcterms:modified xsi:type="dcterms:W3CDTF">2018-04-09T10:01:00Z</dcterms:modified>
</cp:coreProperties>
</file>