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D45" w:rsidRPr="000325C8" w:rsidRDefault="00A52D45" w:rsidP="00A52D45">
      <w:pPr>
        <w:rPr>
          <w:rFonts w:cs="Calibri-Bold"/>
          <w:b/>
          <w:bCs/>
          <w:color w:val="000000"/>
          <w:sz w:val="24"/>
          <w:szCs w:val="24"/>
        </w:rPr>
      </w:pPr>
      <w:r w:rsidRPr="00A52D45">
        <w:rPr>
          <w:rFonts w:cs="Calibri-Bold"/>
          <w:b/>
          <w:bCs/>
          <w:color w:val="000000"/>
          <w:sz w:val="24"/>
          <w:szCs w:val="24"/>
        </w:rPr>
        <w:t>Nr sprawy: BA.WZP.26.</w:t>
      </w:r>
      <w:r w:rsidR="004A1D7D">
        <w:rPr>
          <w:rFonts w:cs="Calibri-Bold"/>
          <w:b/>
          <w:bCs/>
          <w:color w:val="000000"/>
          <w:sz w:val="24"/>
          <w:szCs w:val="24"/>
        </w:rPr>
        <w:t>6.54</w:t>
      </w:r>
      <w:r w:rsidRPr="004A1D7D">
        <w:rPr>
          <w:rFonts w:cs="Calibri-Bold"/>
          <w:b/>
          <w:bCs/>
          <w:color w:val="000000"/>
          <w:sz w:val="24"/>
          <w:szCs w:val="24"/>
        </w:rPr>
        <w:t>.</w:t>
      </w:r>
      <w:r>
        <w:rPr>
          <w:rFonts w:cs="Calibri-Bold"/>
          <w:b/>
          <w:bCs/>
          <w:color w:val="000000"/>
          <w:sz w:val="24"/>
          <w:szCs w:val="24"/>
        </w:rPr>
        <w:t xml:space="preserve">2026 </w:t>
      </w:r>
    </w:p>
    <w:p w:rsidR="006B7E6A" w:rsidRPr="005A16CE" w:rsidRDefault="00A52D45" w:rsidP="00A52D45">
      <w:pPr>
        <w:spacing w:after="120"/>
        <w:rPr>
          <w:rFonts w:cstheme="minorHAnsi"/>
          <w:sz w:val="24"/>
          <w:szCs w:val="24"/>
        </w:rPr>
      </w:pPr>
      <w:r w:rsidRPr="000325C8">
        <w:rPr>
          <w:b/>
          <w:sz w:val="24"/>
          <w:szCs w:val="24"/>
        </w:rPr>
        <w:t xml:space="preserve">Załącznik nr </w:t>
      </w:r>
      <w:r w:rsidRPr="004D5C88">
        <w:rPr>
          <w:b/>
          <w:sz w:val="24"/>
          <w:szCs w:val="24"/>
        </w:rPr>
        <w:t>1</w:t>
      </w:r>
      <w:r w:rsidRPr="000325C8">
        <w:rPr>
          <w:b/>
          <w:sz w:val="24"/>
          <w:szCs w:val="24"/>
        </w:rPr>
        <w:t xml:space="preserve"> </w:t>
      </w:r>
      <w:r w:rsidRPr="000325C8">
        <w:rPr>
          <w:rFonts w:eastAsia="Calibri"/>
          <w:b/>
          <w:color w:val="000000"/>
          <w:sz w:val="24"/>
          <w:szCs w:val="24"/>
        </w:rPr>
        <w:t xml:space="preserve">do zaproszenia </w:t>
      </w:r>
      <w:r w:rsidRPr="000325C8">
        <w:rPr>
          <w:rFonts w:eastAsia="Calibri"/>
          <w:b/>
          <w:sz w:val="24"/>
          <w:szCs w:val="24"/>
        </w:rPr>
        <w:t xml:space="preserve">do udziału w ustaleniu </w:t>
      </w:r>
      <w:r>
        <w:rPr>
          <w:rFonts w:eastAsia="Calibri"/>
          <w:b/>
          <w:sz w:val="24"/>
          <w:szCs w:val="24"/>
        </w:rPr>
        <w:t>szacunkowej wartości</w:t>
      </w:r>
      <w:r w:rsidRPr="000325C8">
        <w:rPr>
          <w:rFonts w:eastAsia="Calibri"/>
          <w:b/>
          <w:sz w:val="24"/>
          <w:szCs w:val="24"/>
        </w:rPr>
        <w:t xml:space="preserve"> zamówienia publicznego </w:t>
      </w:r>
      <w:r w:rsidRPr="000325C8">
        <w:rPr>
          <w:rFonts w:eastAsia="Calibri"/>
          <w:b/>
          <w:color w:val="000000"/>
          <w:sz w:val="24"/>
          <w:szCs w:val="24"/>
        </w:rPr>
        <w:t xml:space="preserve">– </w:t>
      </w:r>
      <w:r>
        <w:rPr>
          <w:rFonts w:eastAsia="Calibri"/>
          <w:b/>
          <w:color w:val="000000"/>
          <w:sz w:val="24"/>
          <w:szCs w:val="24"/>
        </w:rPr>
        <w:t>szczegółowy opis przedmiotu zamówienia</w:t>
      </w:r>
      <w:r w:rsidRPr="000325C8">
        <w:rPr>
          <w:rFonts w:eastAsia="Calibri"/>
          <w:b/>
          <w:color w:val="000000"/>
          <w:sz w:val="24"/>
          <w:szCs w:val="24"/>
        </w:rPr>
        <w:t>: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6"/>
        <w:gridCol w:w="7230"/>
        <w:gridCol w:w="1413"/>
      </w:tblGrid>
      <w:tr w:rsidR="005B0E02" w:rsidRPr="005A16CE" w:rsidTr="000E3F93">
        <w:trPr>
          <w:cantSplit/>
        </w:trPr>
        <w:tc>
          <w:tcPr>
            <w:tcW w:w="9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E02" w:rsidRPr="005B0E02" w:rsidRDefault="005B0E02" w:rsidP="005B0E02">
            <w:pPr>
              <w:pStyle w:val="Nagwek2"/>
              <w:numPr>
                <w:ilvl w:val="0"/>
                <w:numId w:val="0"/>
              </w:numPr>
              <w:spacing w:before="0" w:after="0" w:line="240" w:lineRule="auto"/>
              <w:ind w:left="-480"/>
              <w:jc w:val="center"/>
              <w:rPr>
                <w:rFonts w:asciiTheme="minorHAnsi" w:hAnsiTheme="minorHAnsi" w:cstheme="minorHAnsi"/>
                <w:szCs w:val="22"/>
              </w:rPr>
            </w:pPr>
            <w:r w:rsidRPr="00223B61">
              <w:rPr>
                <w:rFonts w:asciiTheme="minorHAnsi" w:hAnsiTheme="minorHAnsi" w:cstheme="minorHAnsi"/>
                <w:szCs w:val="22"/>
              </w:rPr>
              <w:t>Sekcja I. Wymagania dotyczące pojazdu</w:t>
            </w:r>
          </w:p>
        </w:tc>
      </w:tr>
      <w:tr w:rsidR="00A52D45" w:rsidRPr="005A16CE" w:rsidTr="00313155">
        <w:trPr>
          <w:cantSplit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D45" w:rsidRPr="005A16CE" w:rsidRDefault="00A52D45" w:rsidP="00A52D45">
            <w:pPr>
              <w:spacing w:line="240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5A16C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Lp.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D45" w:rsidRPr="005A16CE" w:rsidRDefault="00A52D45" w:rsidP="00A52D45">
            <w:pPr>
              <w:pStyle w:val="Nagwek2"/>
              <w:spacing w:before="0" w:after="0" w:line="240" w:lineRule="auto"/>
              <w:ind w:left="0"/>
              <w:rPr>
                <w:rFonts w:asciiTheme="minorHAnsi" w:hAnsiTheme="minorHAnsi" w:cstheme="minorHAnsi"/>
                <w:i/>
                <w:iCs/>
                <w:szCs w:val="24"/>
              </w:rPr>
            </w:pPr>
            <w:r w:rsidRPr="005A16CE">
              <w:rPr>
                <w:rFonts w:asciiTheme="minorHAnsi" w:hAnsiTheme="minorHAnsi" w:cstheme="minorHAnsi"/>
                <w:iCs/>
                <w:szCs w:val="24"/>
              </w:rPr>
              <w:t>Minimalne parametry techniczne oraz funkcjonalne pojazdu wymagane przez Zamawiającego.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pStyle w:val="Nagwek2"/>
              <w:spacing w:before="0" w:after="0" w:line="240" w:lineRule="auto"/>
              <w:ind w:left="0"/>
              <w:rPr>
                <w:rFonts w:asciiTheme="minorHAnsi" w:hAnsiTheme="minorHAnsi" w:cstheme="minorHAnsi"/>
                <w:iCs/>
                <w:szCs w:val="24"/>
              </w:rPr>
            </w:pPr>
            <w:r w:rsidRPr="00223B61">
              <w:rPr>
                <w:rFonts w:asciiTheme="minorHAnsi" w:hAnsiTheme="minorHAnsi" w:cstheme="minorHAnsi"/>
                <w:iCs/>
                <w:szCs w:val="22"/>
              </w:rPr>
              <w:t>Wykonawca potwierdza spełnienie wymagania słowem TAK</w:t>
            </w:r>
          </w:p>
        </w:tc>
      </w:tr>
      <w:tr w:rsidR="00A52D45" w:rsidRPr="005A16CE" w:rsidTr="00313155">
        <w:trPr>
          <w:cantSplit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1.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bCs/>
                <w:sz w:val="24"/>
                <w:szCs w:val="24"/>
              </w:rPr>
              <w:t>Pojazd przystosowany do ruchu prawostronnego.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2.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bCs/>
                <w:sz w:val="24"/>
                <w:szCs w:val="24"/>
              </w:rPr>
              <w:t>Masa pojazdu po zabudowie DMC ≤3500 kg.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3.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Pojazd fabrycznie nowy.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4.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bCs/>
                <w:sz w:val="24"/>
                <w:szCs w:val="24"/>
              </w:rPr>
              <w:t xml:space="preserve">Pojazd zatankowany do pełna oraz wszystkie płyny eksploatacyjne.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5.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Nadwozie typu VAN. Drzwi boczne prawe przesuwne. Drzwi tylne dzielone </w:t>
            </w:r>
            <w:r w:rsidRPr="005A16CE">
              <w:rPr>
                <w:rFonts w:cstheme="minorHAnsi"/>
                <w:sz w:val="24"/>
                <w:szCs w:val="24"/>
              </w:rPr>
              <w:br/>
              <w:t>w pionie. Brak ściany grodziowej za fotelami przednimi.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6.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Wymiary pojazdu:</w:t>
            </w:r>
          </w:p>
          <w:p w:rsidR="00A52D45" w:rsidRPr="005A16CE" w:rsidRDefault="00A52D45" w:rsidP="006B7E6A">
            <w:pPr>
              <w:pStyle w:val="Akapitzlist"/>
              <w:numPr>
                <w:ilvl w:val="0"/>
                <w:numId w:val="4"/>
              </w:numPr>
              <w:suppressAutoHyphens w:val="0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Długość 580 cm ± 20 cm. </w:t>
            </w:r>
          </w:p>
          <w:p w:rsidR="00A52D45" w:rsidRPr="005A16CE" w:rsidRDefault="00A52D45" w:rsidP="006B7E6A">
            <w:pPr>
              <w:pStyle w:val="Akapitzlist"/>
              <w:numPr>
                <w:ilvl w:val="0"/>
                <w:numId w:val="4"/>
              </w:numPr>
              <w:suppressAutoHyphens w:val="0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Szerokość bez lusterek 195 cm ± 10 cm. </w:t>
            </w:r>
          </w:p>
          <w:p w:rsidR="00A52D45" w:rsidRPr="005A16CE" w:rsidRDefault="00A52D45" w:rsidP="006B7E6A">
            <w:pPr>
              <w:pStyle w:val="Akapitzlist"/>
              <w:numPr>
                <w:ilvl w:val="0"/>
                <w:numId w:val="4"/>
              </w:numPr>
              <w:suppressAutoHyphens w:val="0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Wysokość 270 cm ± 15 cm.</w:t>
            </w:r>
          </w:p>
          <w:p w:rsidR="00A52D45" w:rsidRPr="005A16CE" w:rsidRDefault="00A52D45" w:rsidP="006B7E6A">
            <w:pPr>
              <w:pStyle w:val="Akapitzlist"/>
              <w:numPr>
                <w:ilvl w:val="0"/>
                <w:numId w:val="4"/>
              </w:numPr>
              <w:suppressAutoHyphens w:val="0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Wysokość wnętrza min. 180 cm do podsufitki. </w:t>
            </w:r>
          </w:p>
          <w:p w:rsidR="00A52D45" w:rsidRPr="005A16CE" w:rsidRDefault="00A52D45" w:rsidP="006B7E6A">
            <w:pPr>
              <w:pStyle w:val="Akapitzlist"/>
              <w:numPr>
                <w:ilvl w:val="0"/>
                <w:numId w:val="4"/>
              </w:numPr>
              <w:suppressAutoHyphens w:val="0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Szerokość między ścianami wewnętrznymi 178 cm ± 5 cm. </w:t>
            </w:r>
          </w:p>
          <w:p w:rsidR="00A52D45" w:rsidRPr="005A16CE" w:rsidRDefault="00A52D45" w:rsidP="006B7E6A">
            <w:pPr>
              <w:pStyle w:val="Akapitzlist"/>
              <w:numPr>
                <w:ilvl w:val="0"/>
                <w:numId w:val="4"/>
              </w:numPr>
              <w:suppressAutoHyphens w:val="0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Długość przestrzeni ładunkowej min. 325 cm.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7.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115" w:hanging="115"/>
              <w:rPr>
                <w:rFonts w:cstheme="minorHAnsi"/>
                <w:color w:val="000000"/>
                <w:sz w:val="24"/>
                <w:szCs w:val="24"/>
              </w:rPr>
            </w:pPr>
            <w:r w:rsidRPr="005A16CE">
              <w:rPr>
                <w:rFonts w:cstheme="minorHAnsi"/>
                <w:color w:val="000000"/>
                <w:sz w:val="24"/>
                <w:szCs w:val="24"/>
              </w:rPr>
              <w:t>Silnik spalinowy wysokoprężny o mocy minimum 150 KM spełniający normę minimum EURO VI.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115" w:hanging="115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8.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color w:val="000000"/>
                <w:sz w:val="24"/>
                <w:szCs w:val="24"/>
              </w:rPr>
            </w:pPr>
            <w:r w:rsidRPr="005A16CE">
              <w:rPr>
                <w:rFonts w:cstheme="minorHAnsi"/>
                <w:color w:val="000000"/>
                <w:sz w:val="24"/>
                <w:szCs w:val="24"/>
              </w:rPr>
              <w:t>Samochód wyposażony w wersję wzmocnioną alternatora zapewniająca zapas energetyczny na potrzeby ładowania dodatkowego akumulatora systemowego.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9.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Dwa miejsca siedzące, dla kierowcy i pasażera z przodu oraz dodatkowe miejsce z tyłu, w ramach zabudowy pojazdu, dla operatora urządzeń pomiarowych, zwanego dalej Operatorem.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10.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bCs/>
                <w:sz w:val="24"/>
                <w:szCs w:val="24"/>
              </w:rPr>
            </w:pPr>
            <w:r w:rsidRPr="005A16CE">
              <w:rPr>
                <w:rFonts w:cstheme="minorHAnsi"/>
                <w:bCs/>
                <w:sz w:val="24"/>
                <w:szCs w:val="24"/>
              </w:rPr>
              <w:t>Otwarta przestrzeń wewnątrz pojazdu pomiędzy przedziałem kierowcy i pasażera oraz Operatora.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11.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Regulacja foteli kierowcy i pasażera: przód – tył, góra – dół, pochylenia siedziska, pochylenia oparcia.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12.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Wspomaganie układu kierowniczego.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13.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Napęd 4x4.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284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D45" w:rsidRPr="005A16CE" w:rsidRDefault="00A52D45" w:rsidP="00A52D45">
            <w:pPr>
              <w:pStyle w:val="pgraftxt1"/>
              <w:widowControl/>
              <w:tabs>
                <w:tab w:val="left" w:pos="708"/>
              </w:tabs>
              <w:overflowPunct/>
              <w:autoSpaceDE/>
              <w:adjustRightInd/>
              <w:spacing w:line="240" w:lineRule="auto"/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14.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Skrzynia biegów automatyczna.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284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D45" w:rsidRPr="005A16CE" w:rsidRDefault="00A52D45" w:rsidP="00A52D45">
            <w:pPr>
              <w:pStyle w:val="pgraftxt1"/>
              <w:widowControl/>
              <w:tabs>
                <w:tab w:val="left" w:pos="708"/>
              </w:tabs>
              <w:overflowPunct/>
              <w:autoSpaceDE/>
              <w:adjustRightInd/>
              <w:spacing w:line="240" w:lineRule="auto"/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15.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Pojazd wyposażony w tempomat.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284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D45" w:rsidRPr="005A16CE" w:rsidRDefault="00A52D45" w:rsidP="00A52D45">
            <w:pPr>
              <w:pStyle w:val="pgraftxt1"/>
              <w:widowControl/>
              <w:tabs>
                <w:tab w:val="left" w:pos="708"/>
              </w:tabs>
              <w:overflowPunct/>
              <w:autoSpaceDE/>
              <w:adjustRightInd/>
              <w:spacing w:line="240" w:lineRule="auto"/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16.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Pojazd wyposażony w światła przeciwmgielne przednie.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284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D45" w:rsidRPr="005A16CE" w:rsidRDefault="00A52D45" w:rsidP="00A52D45">
            <w:pPr>
              <w:pStyle w:val="pgraftxt1"/>
              <w:widowControl/>
              <w:tabs>
                <w:tab w:val="left" w:pos="708"/>
              </w:tabs>
              <w:overflowPunct/>
              <w:autoSpaceDE/>
              <w:adjustRightInd/>
              <w:spacing w:line="240" w:lineRule="auto"/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17.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Wzmocnione zaczepy holownicze z przodu i z tyłu pojazdu przystosowane do wyciągania w pełni obciążonego pojazdu.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284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D45" w:rsidRPr="005A16CE" w:rsidRDefault="00A52D45" w:rsidP="00A52D45">
            <w:pPr>
              <w:pStyle w:val="pgraftxt1"/>
              <w:widowControl/>
              <w:tabs>
                <w:tab w:val="left" w:pos="708"/>
              </w:tabs>
              <w:overflowPunct/>
              <w:autoSpaceDE/>
              <w:adjustRightInd/>
              <w:spacing w:line="240" w:lineRule="auto"/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18.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Regulacja położenia kierownicy w dwóch płaszczyznach.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284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D45" w:rsidRPr="005A16CE" w:rsidRDefault="00A52D45" w:rsidP="00A52D45">
            <w:pPr>
              <w:pStyle w:val="pgraftxt1"/>
              <w:widowControl/>
              <w:tabs>
                <w:tab w:val="left" w:pos="708"/>
              </w:tabs>
              <w:overflowPunct/>
              <w:autoSpaceDE/>
              <w:adjustRightInd/>
              <w:spacing w:line="240" w:lineRule="auto"/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19.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Poduszki powietrzne kierowcy i pasażera.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284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D45" w:rsidRPr="005A16CE" w:rsidRDefault="00A52D45" w:rsidP="00A52D45">
            <w:pPr>
              <w:pStyle w:val="pgraftxt1"/>
              <w:widowControl/>
              <w:tabs>
                <w:tab w:val="left" w:pos="708"/>
              </w:tabs>
              <w:overflowPunct/>
              <w:autoSpaceDE/>
              <w:adjustRightInd/>
              <w:spacing w:line="240" w:lineRule="auto"/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20.</w:t>
            </w:r>
          </w:p>
        </w:tc>
        <w:tc>
          <w:tcPr>
            <w:tcW w:w="7513" w:type="dxa"/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Ogrzewane lusterka boczne sterowane elektrycznie dające możliwość złożenia. </w:t>
            </w:r>
          </w:p>
        </w:tc>
        <w:tc>
          <w:tcPr>
            <w:tcW w:w="1417" w:type="dxa"/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284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D45" w:rsidRPr="005A16CE" w:rsidRDefault="00A52D45" w:rsidP="00A52D45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lastRenderedPageBreak/>
              <w:t>21.</w:t>
            </w:r>
          </w:p>
        </w:tc>
        <w:tc>
          <w:tcPr>
            <w:tcW w:w="7513" w:type="dxa"/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Elektrycznie sterowane szyby drzwi przednich. </w:t>
            </w:r>
          </w:p>
        </w:tc>
        <w:tc>
          <w:tcPr>
            <w:tcW w:w="1417" w:type="dxa"/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284"/>
        </w:trPr>
        <w:tc>
          <w:tcPr>
            <w:tcW w:w="279" w:type="dxa"/>
            <w:vAlign w:val="center"/>
          </w:tcPr>
          <w:p w:rsidR="00A52D45" w:rsidRPr="005A16CE" w:rsidRDefault="00A52D45" w:rsidP="00A52D45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22.</w:t>
            </w:r>
          </w:p>
        </w:tc>
        <w:tc>
          <w:tcPr>
            <w:tcW w:w="7513" w:type="dxa"/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Centralny zamek obejmujący wszystkie drzwi, autoalarm oraz immobiliser. </w:t>
            </w:r>
          </w:p>
        </w:tc>
        <w:tc>
          <w:tcPr>
            <w:tcW w:w="1417" w:type="dxa"/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284"/>
        </w:trPr>
        <w:tc>
          <w:tcPr>
            <w:tcW w:w="279" w:type="dxa"/>
            <w:vAlign w:val="center"/>
          </w:tcPr>
          <w:p w:rsidR="00A52D45" w:rsidRPr="005A16CE" w:rsidRDefault="00A52D45" w:rsidP="00A52D45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23.</w:t>
            </w:r>
          </w:p>
        </w:tc>
        <w:tc>
          <w:tcPr>
            <w:tcW w:w="7513" w:type="dxa"/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Klimatyzacja automatyczna zapewniająca efektywne działanie również w przedziale operatorskim.</w:t>
            </w:r>
          </w:p>
        </w:tc>
        <w:tc>
          <w:tcPr>
            <w:tcW w:w="1417" w:type="dxa"/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284"/>
        </w:trPr>
        <w:tc>
          <w:tcPr>
            <w:tcW w:w="279" w:type="dxa"/>
            <w:vAlign w:val="center"/>
          </w:tcPr>
          <w:p w:rsidR="00A52D45" w:rsidRPr="005A16CE" w:rsidRDefault="00A52D45" w:rsidP="00A52D45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24.</w:t>
            </w:r>
          </w:p>
        </w:tc>
        <w:tc>
          <w:tcPr>
            <w:tcW w:w="7513" w:type="dxa"/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Ogrzewanie postojowe „mokre” podgrzewające kabinę oraz układ chłodzenia silnika. Zasilane z akumulatora samochodowego. </w:t>
            </w:r>
          </w:p>
        </w:tc>
        <w:tc>
          <w:tcPr>
            <w:tcW w:w="1417" w:type="dxa"/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284"/>
        </w:trPr>
        <w:tc>
          <w:tcPr>
            <w:tcW w:w="279" w:type="dxa"/>
            <w:vAlign w:val="center"/>
          </w:tcPr>
          <w:p w:rsidR="00A52D45" w:rsidRPr="005A16CE" w:rsidRDefault="00A52D45" w:rsidP="00A52D45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25.</w:t>
            </w:r>
          </w:p>
        </w:tc>
        <w:tc>
          <w:tcPr>
            <w:tcW w:w="7513" w:type="dxa"/>
          </w:tcPr>
          <w:p w:rsidR="00A52D45" w:rsidRPr="005A16CE" w:rsidRDefault="00A52D45" w:rsidP="00BB6FAA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Fabryczny odbiornik radiowy UKF FM stereo, DAB+, USB wyposażony w</w:t>
            </w:r>
            <w:r w:rsidR="00BB6FAA">
              <w:rPr>
                <w:rFonts w:asciiTheme="minorHAnsi" w:hAnsiTheme="minorHAnsi" w:cstheme="minorHAnsi"/>
                <w:sz w:val="24"/>
                <w:szCs w:val="24"/>
              </w:rPr>
              <w:t> </w:t>
            </w: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zestaw głośnomówiący </w:t>
            </w:r>
            <w:proofErr w:type="spellStart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bluetooth</w:t>
            </w:r>
            <w:proofErr w:type="spellEnd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 zintegrowany z radioodtwarzaczem.</w:t>
            </w:r>
          </w:p>
        </w:tc>
        <w:tc>
          <w:tcPr>
            <w:tcW w:w="1417" w:type="dxa"/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70"/>
        </w:trPr>
        <w:tc>
          <w:tcPr>
            <w:tcW w:w="279" w:type="dxa"/>
            <w:vAlign w:val="center"/>
          </w:tcPr>
          <w:p w:rsidR="00A52D45" w:rsidRPr="005A16CE" w:rsidRDefault="00A52D45" w:rsidP="00A52D45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26.</w:t>
            </w:r>
          </w:p>
        </w:tc>
        <w:tc>
          <w:tcPr>
            <w:tcW w:w="7513" w:type="dxa"/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Czujniki parkowania z przodu i z tyłu pojazdu oraz szerokokątna kamera cofania.</w:t>
            </w:r>
          </w:p>
        </w:tc>
        <w:tc>
          <w:tcPr>
            <w:tcW w:w="1417" w:type="dxa"/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284"/>
        </w:trPr>
        <w:tc>
          <w:tcPr>
            <w:tcW w:w="279" w:type="dxa"/>
            <w:vAlign w:val="center"/>
          </w:tcPr>
          <w:p w:rsidR="00A52D45" w:rsidRPr="005A16CE" w:rsidRDefault="00A52D45" w:rsidP="00A52D45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27.</w:t>
            </w:r>
          </w:p>
        </w:tc>
        <w:tc>
          <w:tcPr>
            <w:tcW w:w="7513" w:type="dxa"/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Fabryczna nawigacja pokładowa z możliwością bezpłatnej aktualizacji map w okresie gwarancyjnym.</w:t>
            </w:r>
          </w:p>
        </w:tc>
        <w:tc>
          <w:tcPr>
            <w:tcW w:w="1417" w:type="dxa"/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284"/>
        </w:trPr>
        <w:tc>
          <w:tcPr>
            <w:tcW w:w="279" w:type="dxa"/>
            <w:vAlign w:val="center"/>
          </w:tcPr>
          <w:p w:rsidR="00A52D45" w:rsidRPr="005A16CE" w:rsidRDefault="00A52D45" w:rsidP="00A52D45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28.</w:t>
            </w:r>
          </w:p>
        </w:tc>
        <w:tc>
          <w:tcPr>
            <w:tcW w:w="7513" w:type="dxa"/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Dodatkowy komplet kół zimowych (4 felgi z oponami) oraz pełnowymiarowe koło zapasowe.</w:t>
            </w:r>
          </w:p>
        </w:tc>
        <w:tc>
          <w:tcPr>
            <w:tcW w:w="1417" w:type="dxa"/>
          </w:tcPr>
          <w:p w:rsidR="00A52D45" w:rsidRPr="005A16CE" w:rsidRDefault="00A52D45" w:rsidP="00A52D45">
            <w:pPr>
              <w:pStyle w:val="Tekstprzypisudolneg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284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D45" w:rsidRPr="005A16CE" w:rsidRDefault="00A52D45" w:rsidP="00A52D45">
            <w:pPr>
              <w:pStyle w:val="pgraftxt1"/>
              <w:widowControl/>
              <w:tabs>
                <w:tab w:val="left" w:pos="708"/>
              </w:tabs>
              <w:overflowPunct/>
              <w:autoSpaceDE/>
              <w:adjustRightInd/>
              <w:spacing w:line="240" w:lineRule="auto"/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29.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bCs/>
                <w:sz w:val="24"/>
                <w:szCs w:val="24"/>
              </w:rPr>
            </w:pPr>
            <w:r w:rsidRPr="005A16CE">
              <w:rPr>
                <w:rFonts w:cstheme="minorHAnsi"/>
                <w:bCs/>
                <w:sz w:val="24"/>
                <w:szCs w:val="24"/>
              </w:rPr>
              <w:t>Szyba w przedniej części ściany lewej (za kierowcą – odbicie lustrzane szyby drzwi przesuwnych). Przyciemnienie wszystkich szyb w stopniu od 70 do 90 %, za wyjątkiem szyby przedniej oraz szyb w bocznych drzwiach kierowcy oraz pasażera.</w:t>
            </w:r>
          </w:p>
          <w:p w:rsidR="00A52D45" w:rsidRPr="005A16CE" w:rsidRDefault="00A52D45" w:rsidP="00A52D45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bCs/>
                <w:sz w:val="24"/>
                <w:szCs w:val="24"/>
              </w:rPr>
              <w:t>Wszystkie szyby boczne zabezpieczone grubą folią antywłamaniową.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284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D45" w:rsidRPr="005A16CE" w:rsidRDefault="00A52D45" w:rsidP="00A52D45">
            <w:pPr>
              <w:pStyle w:val="pgraftxt1"/>
              <w:widowControl/>
              <w:tabs>
                <w:tab w:val="left" w:pos="708"/>
              </w:tabs>
              <w:overflowPunct/>
              <w:autoSpaceDE/>
              <w:adjustRightInd/>
              <w:spacing w:line="240" w:lineRule="auto"/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30.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rPr>
                <w:rFonts w:cstheme="minorHAnsi"/>
                <w:bCs/>
                <w:sz w:val="24"/>
                <w:szCs w:val="24"/>
              </w:rPr>
            </w:pPr>
            <w:r w:rsidRPr="005A16CE">
              <w:rPr>
                <w:rFonts w:cstheme="minorHAnsi"/>
                <w:bCs/>
                <w:sz w:val="24"/>
                <w:szCs w:val="24"/>
              </w:rPr>
              <w:t>Minimalne wyposażenie dodatkowe pojazdu:</w:t>
            </w:r>
          </w:p>
          <w:p w:rsidR="00A52D45" w:rsidRPr="005A16CE" w:rsidRDefault="00A52D45" w:rsidP="006B7E6A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dwie gaśnice o poj. 2 kg środka gaśniczego każda, z czego jedna zamontowana w przedziale masztowym,</w:t>
            </w:r>
          </w:p>
          <w:p w:rsidR="00A52D45" w:rsidRPr="005A16CE" w:rsidRDefault="00A52D45" w:rsidP="006B7E6A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apteczka samochodowa wraz z wyposażeniem,</w:t>
            </w:r>
          </w:p>
          <w:p w:rsidR="00A52D45" w:rsidRPr="005A16CE" w:rsidRDefault="00A52D45" w:rsidP="006B7E6A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zestaw podręcznych narzędzi,</w:t>
            </w:r>
          </w:p>
          <w:p w:rsidR="00A52D45" w:rsidRPr="005A16CE" w:rsidRDefault="00A52D45" w:rsidP="006B7E6A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komplet dywaników gumowych.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284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D45" w:rsidRPr="005A16CE" w:rsidRDefault="00A52D45" w:rsidP="00A52D45">
            <w:pPr>
              <w:pStyle w:val="pgraftxt1"/>
              <w:widowControl/>
              <w:tabs>
                <w:tab w:val="left" w:pos="708"/>
              </w:tabs>
              <w:overflowPunct/>
              <w:autoSpaceDE/>
              <w:adjustRightInd/>
              <w:spacing w:line="240" w:lineRule="auto"/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31.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rPr>
                <w:rFonts w:cstheme="minorHAnsi"/>
                <w:bCs/>
                <w:sz w:val="24"/>
                <w:szCs w:val="24"/>
              </w:rPr>
            </w:pPr>
            <w:r w:rsidRPr="005A16CE">
              <w:rPr>
                <w:rFonts w:cstheme="minorHAnsi"/>
                <w:bCs/>
                <w:sz w:val="24"/>
                <w:szCs w:val="24"/>
              </w:rPr>
              <w:t>Minimalna dokumentacja pojazdu:</w:t>
            </w:r>
          </w:p>
          <w:p w:rsidR="00A52D45" w:rsidRPr="005A16CE" w:rsidRDefault="00A52D45" w:rsidP="006B7E6A">
            <w:pPr>
              <w:pStyle w:val="Akapitzlist"/>
              <w:numPr>
                <w:ilvl w:val="0"/>
                <w:numId w:val="2"/>
              </w:numPr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bCs/>
                <w:sz w:val="24"/>
                <w:szCs w:val="24"/>
              </w:rPr>
              <w:t>instrukcja obsługi pojazdu w języku polskim,</w:t>
            </w:r>
          </w:p>
          <w:p w:rsidR="00A52D45" w:rsidRPr="005A16CE" w:rsidRDefault="00A52D45" w:rsidP="006B7E6A">
            <w:pPr>
              <w:pStyle w:val="Akapitzlist"/>
              <w:numPr>
                <w:ilvl w:val="0"/>
                <w:numId w:val="2"/>
              </w:numPr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bCs/>
                <w:sz w:val="24"/>
                <w:szCs w:val="24"/>
              </w:rPr>
              <w:t>książka serwisowa,</w:t>
            </w:r>
          </w:p>
          <w:p w:rsidR="00A52D45" w:rsidRPr="005A16CE" w:rsidRDefault="00A52D45" w:rsidP="006B7E6A">
            <w:pPr>
              <w:pStyle w:val="Akapitzlist"/>
              <w:numPr>
                <w:ilvl w:val="0"/>
                <w:numId w:val="2"/>
              </w:numPr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bCs/>
                <w:sz w:val="24"/>
                <w:szCs w:val="24"/>
              </w:rPr>
              <w:t>dokumenty uprawniające do dopuszczenia pojazdu do ruchu oraz do zarejestrowania.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A52D45" w:rsidRPr="005A16CE" w:rsidTr="00313155">
        <w:trPr>
          <w:cantSplit/>
          <w:trHeight w:val="284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D45" w:rsidRPr="005A16CE" w:rsidRDefault="00A52D45" w:rsidP="00A52D45">
            <w:pPr>
              <w:pStyle w:val="pgraftxt1"/>
              <w:widowControl/>
              <w:tabs>
                <w:tab w:val="left" w:pos="708"/>
              </w:tabs>
              <w:overflowPunct/>
              <w:autoSpaceDE/>
              <w:adjustRightInd/>
              <w:spacing w:line="240" w:lineRule="auto"/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32.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bCs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Pojazd musi spełniać wszystkie warunki techniczne przewidziane przez obowiązujące w Polsce przepisy prawa dla samochodów poruszających się po drogach publicznych oraz warunki przewidziane przez przepisy prawa w Unii Europejskiej.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D45" w:rsidRPr="005A16CE" w:rsidRDefault="00A52D45" w:rsidP="00A52D45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0E3F93">
        <w:trPr>
          <w:cantSplit/>
        </w:trPr>
        <w:tc>
          <w:tcPr>
            <w:tcW w:w="9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E02" w:rsidRPr="005A16CE" w:rsidRDefault="005B0E02" w:rsidP="00A52D45">
            <w:pPr>
              <w:pStyle w:val="Nagwek2"/>
              <w:numPr>
                <w:ilvl w:val="0"/>
                <w:numId w:val="0"/>
              </w:numPr>
              <w:spacing w:before="0" w:after="0" w:line="240" w:lineRule="auto"/>
              <w:ind w:left="-480"/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Sekcja II. Wymagania dotyczące zabudowy pojazdu</w:t>
            </w:r>
          </w:p>
        </w:tc>
      </w:tr>
      <w:tr w:rsidR="005B0E02" w:rsidRPr="005A16CE" w:rsidTr="00313155">
        <w:trPr>
          <w:cantSplit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5A16C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Lp.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E02" w:rsidRPr="005A16CE" w:rsidRDefault="005B0E02" w:rsidP="00F97497">
            <w:pPr>
              <w:pStyle w:val="Nagwek2"/>
              <w:spacing w:before="0" w:after="0" w:line="240" w:lineRule="auto"/>
              <w:ind w:left="0"/>
              <w:rPr>
                <w:rFonts w:asciiTheme="minorHAnsi" w:hAnsiTheme="minorHAnsi" w:cstheme="minorHAnsi"/>
                <w:i/>
                <w:iCs/>
                <w:szCs w:val="24"/>
              </w:rPr>
            </w:pPr>
            <w:r w:rsidRPr="005A16CE">
              <w:rPr>
                <w:rFonts w:asciiTheme="minorHAnsi" w:hAnsiTheme="minorHAnsi" w:cstheme="minorHAnsi"/>
                <w:iCs/>
                <w:szCs w:val="24"/>
              </w:rPr>
              <w:t>Minimalne parametry techniczne oraz funkcjonalne zabudowy pojazdu, zwanego dalej Stacją.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E02" w:rsidRPr="005A16CE" w:rsidRDefault="005B0E02" w:rsidP="005B0E02">
            <w:pPr>
              <w:pStyle w:val="Nagwek2"/>
              <w:spacing w:before="0" w:after="0" w:line="240" w:lineRule="auto"/>
              <w:ind w:left="0"/>
              <w:rPr>
                <w:rFonts w:asciiTheme="minorHAnsi" w:hAnsiTheme="minorHAnsi" w:cstheme="minorHAnsi"/>
                <w:iCs/>
                <w:szCs w:val="24"/>
              </w:rPr>
            </w:pPr>
            <w:r w:rsidRPr="00223B61">
              <w:rPr>
                <w:rFonts w:asciiTheme="minorHAnsi" w:hAnsiTheme="minorHAnsi" w:cstheme="minorHAnsi"/>
                <w:iCs/>
                <w:szCs w:val="22"/>
              </w:rPr>
              <w:t>Wykonawca potwierdza spełnienie wymagania słowem TAK</w:t>
            </w: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33.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 oraz zamontuje pyłoszczelną ściankę działową rozdzielającą przedział masztowy od operatorskiego, tapicerowaną od strony przedziału operatorskiego.</w:t>
            </w:r>
          </w:p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Ścianka o sztywności umożliwiającej instalację wieszaków, uchwytów, mocowań itp., dwuwarstwowa wypełniona izolacją termiczną.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lastRenderedPageBreak/>
              <w:t>34.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BB6FAA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 ocieplenie części pasażersko-operatorskiej poprzez umieszczenie izolacji termicznej między poszyciem zewnętrznym a</w:t>
            </w:r>
            <w:r w:rsidR="00BB6FAA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tapicerką.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35.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(wykona) i zamontuje tapicerkę przedziału operatorskiego odporną na zabrudzenia.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36.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i zamontuje na stałe wewnątrz Stacji maszt teleskopowy o maksymalnym luzie kątowym 14°, zwany dalej Masztem wraz z napędem elektrycznym umożliwiającym jego wysuwanie i składanie poprzez otwór w dachu i platformie dachowej. Mechanizm podnoszenia i opuszczania masztu musi być zainstalowany w jego wnętrzu w celu wyeliminowania wystąpienia ryzyka wypadku spowodowanego jego uszkodzeniem lub wkręcenia części ciała lub odzieży operatora. Wysunięty do pełnej wysokości, z zamontowanym rotorem oraz antenami, Maszt teleskopowy musi być odporny na podmuchy wiatru bocznego o prędkości co najmniej 50 km/h. Nośność masztu będzie co najmniej 5 kg większa niż łączna waga zestawu rotatora azymutu i polaryzacji z zainstalowaną anteną HL033 lub antena namiernikowa ADD071 z adapterem do montażu na maszcie (decyduje większa wartość).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37.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Napęd Masztu będzie wykorzystywał zasilanie dodatkowe Stacji, opisane w sekcji III. Maszt będzie posiadał możliwość awaryjnego opuszczenia w przypadku uszkodzenia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38.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  <w:highlight w:val="yellow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zamontuje Maszt w osi podłużnej Stacji. Dopuszczalne jest przesunięcie miejsca zainstalowania Masztu w lewo lub prawo od osi podłużnej Stacji mając na względzie zachowanie odpowiedniego rozkładu mas. Wykonawca zamontuje Maszt w takim miejscu, aby zapewnić swobodny montaż anten i rotatora na Maszcie przez Operatora.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39.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zamontuje maszt tak aby zapewnić wodoszczelność przedziału masztowego. W związku z powyższym musi być możliwość zamknięcia drzwi oraz innych otworów dostępowych z wyjątkiem pokrywy masztu w trakcie wykonywania pomiarów.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40.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pStyle w:val="Tekstkomentarza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dobierze i zainstaluje Maszt w taki sposób, aby przy maksymalnym jego wysunięciu wysokość zainstalowanych na nim anten pomiarowych, liczona do środków elektrycznych tych anten, wynosiła 10 m n.p.t.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pStyle w:val="Tekstkomentarza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41.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zainstaluje Maszt w taki sposób, aby w stanie jego całkowitego złożenia szczyt Masztu nie wystawał ponad płaszczyznę podestu dachowego oraz podstawa poniżej podłogi.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42.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 i zamontuje pojemnik wokół Masztu, zwany dalej Koszem, umożliwiający samoczynne zwijanie się w nim i przewożenie przewodów, opisanych w pkt. 90, 91 i 92 rozwijanych w formie spirali wokół Masztu podczas jego wysuwania.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43.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dobierze wymiary Kosza w celu zapewnienia swobodnego zwijania i rozwijania przewodów, opisanych w pkt. 90, 91 i 92 zgodnie z wymaganiami producenta przewodów, w szczególności w zakresie zachowania parametru tzw. dynamicznego promienia gięcia przewodów.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lastRenderedPageBreak/>
              <w:t>44.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zamontuje Kosz w taki sposób, aby uniemożliwić przenikanie opadów atmosferycznych do wnętrza Stacji w czasie wykonywania pomiarów przy wysuniętym Maszcie oraz zapewni odprowadzenie na zewnątrz Stacji wody, jaka może gromadzić się w Koszu.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45.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BB6FAA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 szczelne zamknięcie (pokrywę) zamykającą Kosz w</w:t>
            </w:r>
            <w:r w:rsidR="00BB6FAA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czasie, gdy Maszt jest całkowicie złożony. Zamknięcie musi być zabezpieczone przed niekontrolowanym otwarciem podczas poruszania się Stacji oraz dostępem osób nieuprawnionych. Odblokowanie pokrywy musi być łatwo dostępne z poziomu Stanowiska obsługi Masztu opisanego w pkt. 51.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46.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 zabezpieczenie uniemożliwiające wysunięcie Masztu przy zamkniętej pokrywie Kosza.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47.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 układ sterowania wysuwaniem Masztu spełniający poniższe funkcje: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wysunięcie oraz złożenie Masztu powinno być uruchamiane za pomocą przycisków umieszczonych w przedziale masztowym, 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przyciski sterowania zamontowanego wewnątrz Stacji muszą być dostępne dla Operatora w taki sposób, aby Operator miał możliwość obserwacji wysuwającego</w:t>
            </w:r>
            <w:r w:rsidR="00BB6FAA">
              <w:rPr>
                <w:rFonts w:asciiTheme="minorHAnsi" w:hAnsiTheme="minorHAnsi" w:cstheme="minorHAnsi"/>
                <w:sz w:val="24"/>
                <w:szCs w:val="24"/>
              </w:rPr>
              <w:t>/składającego się Masztu wraz z </w:t>
            </w: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zainstalowaną anteną;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przyciski sterowania zamontowanego wewnątrz Stacji muszą być zabezpieczone przed przypadkowym ich naciśnięciem;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wysuwanie Masztu oraz jego składanie ma się odbywać wyłącznie podczas naciskania przycisku sterowania. Zwolnienie przycisku musi powodować natychmiastowe zatrzymanie napędu.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48.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 układ sygnalizacji wysuniętego Masztu oraz dodatkowo otwartej pokrywy Kosza, o następujących cechach: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układy będą wyposażony w czerwone światła sygnalizacyjne, widoczne również w świetle dziennym przez kierowcę, działające bez względu na włożenie kluczyka do </w:t>
            </w:r>
            <w:r w:rsidR="00BB6FAA">
              <w:rPr>
                <w:rFonts w:asciiTheme="minorHAnsi" w:hAnsiTheme="minorHAnsi" w:cstheme="minorHAnsi"/>
                <w:sz w:val="24"/>
                <w:szCs w:val="24"/>
              </w:rPr>
              <w:t>stacyjki Stacji i zamontowane w </w:t>
            </w: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miejscu dobrze widocznym dla kierowcy, siedzącego w pozycji gotowości do jazdy;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układy będą wyposażone w sygnał dźwiękowy słyszalny przez kierowcę w chwili przekręcenia kluczyka w stacyjce, z możliwością wyłączenia sygnału do czasu ponownego włączenia zapłonu.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układy będą wyposażone w sygnał dźwiękowy słyszalny przez kierowcę w chwili naciśnięcia pedału hamulca i przestawienia dźwigni wyboru biegu na pozycję „Drive” lub „</w:t>
            </w:r>
            <w:proofErr w:type="spellStart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Revers</w:t>
            </w:r>
            <w:proofErr w:type="spellEnd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” w przypadku skrzyni automatycznej przy pracującym silniku.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49.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i przystosuje do montowania na szczycie Masztu, rotator azymutu i polaryzacji, zwany dalej Rotatorem, o następujących cechach: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rotator musi zapewnić pełny (ciągły) obrót, w płaszczyźnie poziomej, w zakresie co najmniej od 0</w:t>
            </w:r>
            <w:bookmarkStart w:id="0" w:name="OLE_LINK1"/>
            <w:bookmarkStart w:id="1" w:name="OLE_LINK2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°</w:t>
            </w:r>
            <w:bookmarkEnd w:id="0"/>
            <w:bookmarkEnd w:id="1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 d</w:t>
            </w:r>
            <w:r w:rsidR="00BB6FAA">
              <w:rPr>
                <w:rFonts w:asciiTheme="minorHAnsi" w:hAnsiTheme="minorHAnsi" w:cstheme="minorHAnsi"/>
                <w:sz w:val="24"/>
                <w:szCs w:val="24"/>
              </w:rPr>
              <w:t>o 360° względem przodu Stacji z </w:t>
            </w: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możliwością zatrzymania Rotatora w dowolnym momencie obrotu (ustawienie z dokładnością do jednego stopnia), przy czym 0° </w:t>
            </w:r>
            <w:r w:rsidRPr="005A16CE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wyznacza wektor pokrywający się z osią podłużną Stacji skierowany zwrotem w kierunku przodu Stacji;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rotator musi zapewnić możliwość ustawienia polaryzacji anteny co najmniej dla kątów 0°,45°,90° i 135°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mocowanie Rotatora na szczycie Masztu musi odbywać się bez dodatkowych narzędzi (np. kluczy, wkrętaków itp.), tylko w jednej ustalonej lub trwale oznaczonej pozycji Rotatora względem Stacji;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dopuszczalna waga Rotatora nie może przekraczać 25 kg;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dopuszczalny luz kątowy (</w:t>
            </w:r>
            <w:proofErr w:type="spellStart"/>
            <w:r w:rsidRPr="005A16CE">
              <w:rPr>
                <w:rFonts w:asciiTheme="minorHAnsi" w:hAnsiTheme="minorHAnsi" w:cstheme="minorHAnsi"/>
                <w:i/>
                <w:sz w:val="24"/>
                <w:szCs w:val="24"/>
              </w:rPr>
              <w:t>backlash</w:t>
            </w:r>
            <w:proofErr w:type="spellEnd"/>
            <w:r w:rsidRPr="005A16CE">
              <w:rPr>
                <w:rFonts w:asciiTheme="minorHAnsi" w:hAnsiTheme="minorHAnsi" w:cstheme="minorHAnsi"/>
                <w:i/>
                <w:sz w:val="24"/>
                <w:szCs w:val="24"/>
              </w:rPr>
              <w:t xml:space="preserve">) </w:t>
            </w: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nie może przekraczać 1°.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50.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tabs>
                <w:tab w:val="left" w:pos="20"/>
              </w:tabs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Montaż Rotatora przez Operatora na złożonym maszcie musi być możliwy ze Stanowiska obsługi Masztu.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tabs>
                <w:tab w:val="left" w:pos="20"/>
              </w:tabs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51.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tabs>
                <w:tab w:val="left" w:pos="20"/>
              </w:tabs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Stanowisko obsługi masztu musi być wykonane przez Wykonawcę na podstawie dostarczonych przez Zamawiającego szkiców i zdjęć. Zamawiający może udostępnić w celu wykonania dokumentacji technicznej Stanowiska obsługi masztu posiadane przez siebie RSP. Zamawiający posiada prawa autorskie i majątkowe do takiego rozwiązania technicznego stanowiska obsługi masztu. Stanowisko obsługi Masztu musi umożliwiać pracę w sposób niewymagający zastosowania Środków Ochrony Indywidualnej przed upadkiem z wysokości oraz bez konieczności wchodzenia na dach pojazdu.</w:t>
            </w:r>
          </w:p>
          <w:p w:rsidR="005B0E02" w:rsidRPr="005A16CE" w:rsidRDefault="005B0E02" w:rsidP="005B0E02">
            <w:pPr>
              <w:tabs>
                <w:tab w:val="left" w:pos="20"/>
              </w:tabs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Konstrukcja Stanowiska obsługi Masztu nie może w znaczący sposób ograniczać swobody dostępu do innych urządzeń i wyposażenia znajdującego się w Przedziale masztowym.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tabs>
                <w:tab w:val="left" w:pos="20"/>
              </w:tabs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rPr>
          <w:trHeight w:val="2417"/>
        </w:trPr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52.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Wykonawca zakupi i zamontuje sterownik umożliwiający ręczne sterowanie Rotatorem za pomocą przycisków oraz umożliwiający odczyt aktualnie ustawionego azymutu i polaryzacji z dokładnością do jednego stopnia przez Operatora, wyposażony w interfejs umożliwiający sterowanie komputerem za pomocą interfejsu USB, lub RS232, lub LAN oraz wykaz i opis komend sterowania i odczytu pozycji Rotatora za pomocą komputera. </w:t>
            </w:r>
          </w:p>
          <w:p w:rsidR="005B0E02" w:rsidRPr="005A16CE" w:rsidRDefault="005B0E02" w:rsidP="00BB6FAA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Sterownik rotatora musi posiadać cyfrowy wyświetlacz azymutu i</w:t>
            </w:r>
            <w:r w:rsidR="00BB6FAA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polaryzacji, dodatkowo rotator musi posiadać funkcję parkowania do ustalonej pozycji startowej realizowaną za pomocą klawisza.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53.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 sterowanie i zasilanie Rotatora zamontowanego na Maszcie poprzez przewód lub przewody ułożone w sposób opisany w pkt. 42.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54.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 adapter zapewniający montaż na maszcie</w:t>
            </w:r>
            <w:r w:rsidR="00271A7C">
              <w:rPr>
                <w:rFonts w:cstheme="minorHAnsi"/>
                <w:sz w:val="24"/>
                <w:szCs w:val="24"/>
              </w:rPr>
              <w:t>,</w:t>
            </w:r>
            <w:r w:rsidR="00E6220C">
              <w:rPr>
                <w:rFonts w:cstheme="minorHAnsi"/>
                <w:sz w:val="24"/>
                <w:szCs w:val="24"/>
              </w:rPr>
              <w:t xml:space="preserve"> </w:t>
            </w:r>
            <w:r w:rsidR="00E6220C" w:rsidRPr="005A16CE">
              <w:rPr>
                <w:rFonts w:cstheme="minorHAnsi"/>
                <w:sz w:val="24"/>
                <w:szCs w:val="24"/>
              </w:rPr>
              <w:t>posiadan</w:t>
            </w:r>
            <w:r w:rsidR="00271A7C">
              <w:rPr>
                <w:rFonts w:cstheme="minorHAnsi"/>
                <w:sz w:val="24"/>
                <w:szCs w:val="24"/>
              </w:rPr>
              <w:t>ej</w:t>
            </w:r>
            <w:r w:rsidR="00E6220C" w:rsidRPr="005A16CE">
              <w:rPr>
                <w:rFonts w:cstheme="minorHAnsi"/>
                <w:sz w:val="24"/>
                <w:szCs w:val="24"/>
              </w:rPr>
              <w:t xml:space="preserve"> przez Zamawiającego</w:t>
            </w:r>
            <w:r w:rsidR="00271A7C">
              <w:rPr>
                <w:rFonts w:cstheme="minorHAnsi"/>
                <w:sz w:val="24"/>
                <w:szCs w:val="24"/>
              </w:rPr>
              <w:t>,</w:t>
            </w:r>
            <w:r w:rsidRPr="005A16CE">
              <w:rPr>
                <w:rFonts w:cstheme="minorHAnsi"/>
                <w:sz w:val="24"/>
                <w:szCs w:val="24"/>
              </w:rPr>
              <w:t xml:space="preserve"> anteny namiernik</w:t>
            </w:r>
            <w:r w:rsidR="004A1D7D">
              <w:rPr>
                <w:rFonts w:cstheme="minorHAnsi"/>
                <w:sz w:val="24"/>
                <w:szCs w:val="24"/>
              </w:rPr>
              <w:t xml:space="preserve">owej ADD 071 </w:t>
            </w:r>
            <w:proofErr w:type="spellStart"/>
            <w:r w:rsidR="004A1D7D">
              <w:rPr>
                <w:rFonts w:cstheme="minorHAnsi"/>
                <w:sz w:val="24"/>
                <w:szCs w:val="24"/>
              </w:rPr>
              <w:t>prod</w:t>
            </w:r>
            <w:proofErr w:type="spellEnd"/>
            <w:r w:rsidR="004A1D7D">
              <w:rPr>
                <w:rFonts w:cstheme="minorHAnsi"/>
                <w:sz w:val="24"/>
                <w:szCs w:val="24"/>
              </w:rPr>
              <w:t xml:space="preserve">. </w:t>
            </w:r>
            <w:proofErr w:type="spellStart"/>
            <w:r w:rsidR="004A1D7D">
              <w:rPr>
                <w:rFonts w:cstheme="minorHAnsi"/>
                <w:sz w:val="24"/>
                <w:szCs w:val="24"/>
              </w:rPr>
              <w:t>Rohde&amp;Schwar</w:t>
            </w:r>
            <w:proofErr w:type="spellEnd"/>
            <w:r w:rsidR="004A1D7D">
              <w:rPr>
                <w:rFonts w:cstheme="minorHAnsi"/>
                <w:sz w:val="24"/>
                <w:szCs w:val="24"/>
              </w:rPr>
              <w:t xml:space="preserve">, </w:t>
            </w:r>
            <w:r w:rsidR="004A1D7D" w:rsidRPr="004A1D7D">
              <w:rPr>
                <w:rFonts w:cstheme="minorHAnsi"/>
                <w:sz w:val="24"/>
                <w:szCs w:val="24"/>
              </w:rPr>
              <w:t>będ</w:t>
            </w:r>
            <w:r w:rsidR="004A1D7D">
              <w:rPr>
                <w:rFonts w:cstheme="minorHAnsi"/>
                <w:sz w:val="24"/>
                <w:szCs w:val="24"/>
              </w:rPr>
              <w:t>ącej w dyspozycji Zamawiającego</w:t>
            </w:r>
            <w:bookmarkStart w:id="2" w:name="_GoBack"/>
            <w:bookmarkEnd w:id="2"/>
            <w:r w:rsidRPr="005A16CE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55.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 adaptery zapewniające montaż na Rotatorze następujących anten pomiarowych posiadanych przez Zamawiającego: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antena VULB 9165 </w:t>
            </w:r>
            <w:proofErr w:type="spellStart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prod</w:t>
            </w:r>
            <w:proofErr w:type="spellEnd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. </w:t>
            </w:r>
            <w:proofErr w:type="spellStart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Schwarzbeck</w:t>
            </w:r>
            <w:proofErr w:type="spellEnd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antena HL 040E </w:t>
            </w:r>
            <w:proofErr w:type="spellStart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prod</w:t>
            </w:r>
            <w:proofErr w:type="spellEnd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. </w:t>
            </w:r>
            <w:proofErr w:type="spellStart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Rohde&amp;Schwarz</w:t>
            </w:r>
            <w:proofErr w:type="spellEnd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antena HL 033 </w:t>
            </w:r>
            <w:proofErr w:type="spellStart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prod</w:t>
            </w:r>
            <w:proofErr w:type="spellEnd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. </w:t>
            </w:r>
            <w:proofErr w:type="spellStart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Rohde&amp;Schwarz</w:t>
            </w:r>
            <w:proofErr w:type="spellEnd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Montaż adapterów oraz anten do Rotatora muszą być zapewnione bez użycia narzędzi. Wykonane adaptery nie będą pogarszać parametrów elektrycznych anten.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lastRenderedPageBreak/>
              <w:t>56.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BB6FAA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Dodatkowo wykonawca wykona i dostarczy 2 dodatkowe uchwyty w</w:t>
            </w:r>
            <w:r w:rsidR="00BB6FAA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kształcie litery L z uchwytami do mocowania do masztu do anten dodatkowych będących w posiadaniu Zamawiającego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57.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Wykonawca zaplanuje miejsce w przedziale masztowym i wykona stosowne mocowania do transportowania anten wymienionych w pkt. 54 i 55 w taki sposób, aby zapewnić łatwy do nich dostęp. Mocowanie anten do transportu ma być zapewnione bez użycia dodatkowych narzędzi.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58.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Dodatkowo w przedziale masztowym po jego prawej i lewej stronie zamocuje uchwyty / wieszaki na dodatkowe kable.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59.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zaplanuje miejsce w przedziale masztowym i wykona stosowne mocowania do transportowania Rotatora w taki sposób, aby zapewnić łatwy dostęp. Mocowanie ma być zapewnione bez użycia dodatkowych narzędzi.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60.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Wykonawca zaplanuje miejsce w przedziale masztowym i wykona stosowne mocowania do transportowania przenośnego agregatu prądotwórczego opisanego w pkt. 85, kanistra o pojemności 5l opisanego w pkt. 86, dedykowanego kabla do zewnętrznego źródła zasilania opisanego w pkt. 82 oraz przedłużacza zwijanego o długości 40 m opisanego w pkt. 83. Wykonawca zamontuje „paski” do mocowania agregatu, kanistra i „przedłużacza” do podwozia pojazdu w celu zapewnienia ich stabilności podczas transportu.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61.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 i zainstaluje na nadwoziu platformę z blachy ryflowanej duraluminiowej lub aluminiowej o szerokości dostosowanej do szerokości pojazdu oraz długości od słupka „B” do tylnej krawędzi dachu. Minimalne dopuszczalne obciążenie platformy nie może być mniejsze od 180 kg.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62.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115" w:hanging="115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 przepust kablowy, w przedziale masztowym, umieszczony po lewej stronie pojazdu, zabezpieczony przed dostaniem się opadów atmosferycznych do wnętrza pojazdu.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115" w:hanging="115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63.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2D4E63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 płaszczyznę, zabezpieczoną antykorozyjnie, o</w:t>
            </w:r>
            <w:r w:rsidR="002D4E63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wymiarach nie mniejszych niż 0,3 x 0,3 m zainstalowaną na platformie dachowej, nad przedziałem masztowym, po lewej stronie masztu i galwanicznie połączoną z potencjałem masy Stacji. Płaszczyzna ma umożliwić wygodny i bezpieczny montaż anten na podstawach magnetycznych.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64.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115" w:hanging="115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i zainstaluje w miejscu uzgodnionym z zamawiającym fotel przeznaczony dla Operatora, uwzględniając poniższe wymagania: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będzie spełniał normy bezpieczeństwa umożliwiające przewożenie Operatora;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będzie umożliwiać obrót w płaszczyźnie poziomej;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będzie posiadał 2 składane podłokietniki oraz regulowane pochylenie oparcia;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będzie posiadał zagłówek oraz 3 punktowe pasy bezpieczeństwa;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będzie opcjonalnie wyposażony w mocowanie typu ISOFIX.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115" w:hanging="115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65.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Wykonawca zakupi i zabuduje w Stacji za fotelem kierowcy szafę typu RACK 19” zwaną dalej RACK 1, zamontowaną wzdłuż kierunku jazdy, </w:t>
            </w:r>
            <w:r w:rsidRPr="005A16CE">
              <w:rPr>
                <w:rFonts w:cstheme="minorHAnsi"/>
                <w:sz w:val="24"/>
                <w:szCs w:val="24"/>
              </w:rPr>
              <w:lastRenderedPageBreak/>
              <w:t>frontem do Operatora siedzącego przodem do kierunku jazdy spełniającą poniższe wymagania: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5"/>
              </w:numPr>
              <w:suppressAutoHyphens w:val="0"/>
              <w:ind w:left="304" w:hanging="284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o maksymalnej wysokości umożliwiającej wykonanie prawidłowego montażu;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5"/>
              </w:numPr>
              <w:suppressAutoHyphens w:val="0"/>
              <w:ind w:left="304" w:hanging="284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miejsce mocowania nie może ograniczać regulacji maksymalnie odsuniętego w tył fotela kierowcy przy odchyleniu oparcia o 30°;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5"/>
              </w:numPr>
              <w:suppressAutoHyphens w:val="0"/>
              <w:ind w:left="304" w:hanging="284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wyposażoną w 4 półki do zabudowy RACK;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5"/>
              </w:numPr>
              <w:suppressAutoHyphens w:val="0"/>
              <w:ind w:left="304" w:hanging="284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wyposażoną w stały blat od strony fotela operatora umożliwiający wygodną obsługę komputera;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5"/>
              </w:numPr>
              <w:suppressAutoHyphens w:val="0"/>
              <w:ind w:left="304" w:hanging="284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zabudowaną z trzech stron (</w:t>
            </w:r>
            <w:proofErr w:type="spellStart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demontowalne</w:t>
            </w:r>
            <w:proofErr w:type="spellEnd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 oba boki i tył);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5"/>
              </w:numPr>
              <w:suppressAutoHyphens w:val="0"/>
              <w:ind w:left="304" w:hanging="284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wyposażoną w system uniwersalnego, trwałego i ergonomicznego mocowania odbiorników w specjalnym wykonanym przez wykonawcę uniwersalnym uchwycie, będących w posiadaniu Zamawiającego, np.: R&amp;S PR100, FSH8 lub </w:t>
            </w:r>
            <w:proofErr w:type="spellStart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Keysight</w:t>
            </w:r>
            <w:proofErr w:type="spellEnd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. System mocowania powinien umożliwić łatwy montaż i demontaż ww. odbiorników; 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5"/>
              </w:numPr>
              <w:suppressAutoHyphens w:val="0"/>
              <w:ind w:left="304" w:hanging="284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w szafie RACK musi być zapewnione mocowanie odbiorników ETL, FSP30/40 będących w posiadaniu zamawiającego, 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5"/>
              </w:numPr>
              <w:suppressAutoHyphens w:val="0"/>
              <w:ind w:left="304" w:hanging="284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na zewnątrz szafy RACK 1 zostaną zamontowane dodatkowe 4 uchwyty do mocowania pasków transportowych mocujących przewożone skrzynki transportowe, dodatkową drabinę itp.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66.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i zabuduje w Stacji między drzwiami przesuwnymi a</w:t>
            </w:r>
            <w:r w:rsidR="002D4E63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ścianką działową, z prawej strony przedziału operatora szafę typu RACK 19” zwaną dalej RACK 2, zamontowaną w poprzek kierunku jazdy, frontem do Operatora siedzącego bokiem do kierunku jazdy spełniającą poniższe wymagania: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5"/>
              </w:numPr>
              <w:suppressAutoHyphens w:val="0"/>
              <w:ind w:left="304" w:hanging="284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o maksymalnej wysokości umożliwiającej zamontowanie nad nią odbiornika telewizyjnego opisanego w pkt. 105;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5"/>
              </w:numPr>
              <w:suppressAutoHyphens w:val="0"/>
              <w:ind w:left="304" w:hanging="284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wyposażoną w 4 półki do zabudowy RACK;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5"/>
              </w:numPr>
              <w:suppressAutoHyphens w:val="0"/>
              <w:ind w:left="304" w:hanging="284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wyposażoną w składany blat od strony fotela operatora;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5"/>
              </w:numPr>
              <w:suppressAutoHyphens w:val="0"/>
              <w:ind w:left="304" w:hanging="284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zabudowaną z dwóch stron (</w:t>
            </w:r>
            <w:proofErr w:type="spellStart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demontowalne</w:t>
            </w:r>
            <w:proofErr w:type="spellEnd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 oba boki);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5"/>
              </w:numPr>
              <w:suppressAutoHyphens w:val="0"/>
              <w:ind w:left="304" w:hanging="284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wyposażoną w system uniwersalnego, trwałego mocowania odbiorników będących w posiadani</w:t>
            </w:r>
            <w:r w:rsidR="002D4E63">
              <w:rPr>
                <w:rFonts w:asciiTheme="minorHAnsi" w:hAnsiTheme="minorHAnsi" w:cstheme="minorHAnsi"/>
                <w:sz w:val="24"/>
                <w:szCs w:val="24"/>
              </w:rPr>
              <w:t>u Zamawiającego, np.: R&amp;S ETL i </w:t>
            </w: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R&amp;S FSP30/40. System mocowania powinien umożliwić łatwy demontaż ww. odbiorników.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67.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zapewni postojowe (powietrzne) ogrzewanie przedziału operatora przy wyłączonym silniku pojazdu.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68.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Pozostałą część wolnej przestrzeni Stacji Wykonawca zagospodaruje w uzgodnieniu z Zamawiającym, mając na względzie ergonomię pracy oraz potrzebę przechowywania drobnych przedmiotów i dokumentów. Wykonawca wykona zabezpieczenia przed wypadaniem ww. przedmiotów i dokumentów w czasie jazdy. Wszystkie drzwiczki i szuflady zabudowy muszą posiadać zabezpieczenia przed ich przypadkowym otwarciem w czasie przemieszczania Stacji.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69.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2D4E63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Zamontowane w Stacji elementy zabudowy Wykonawca wykona z</w:t>
            </w:r>
            <w:r w:rsidR="002D4E63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 xml:space="preserve">materiału wodoodpornego, niepalnego lub trudnopalnego </w:t>
            </w:r>
            <w:r w:rsidRPr="005A16CE">
              <w:rPr>
                <w:rFonts w:cstheme="minorHAnsi"/>
                <w:sz w:val="24"/>
                <w:szCs w:val="24"/>
              </w:rPr>
              <w:lastRenderedPageBreak/>
              <w:t>i</w:t>
            </w:r>
            <w:r w:rsidR="002D4E63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dopuszczonego do stosowania w tego rodzaju zabudowie zgodnie z</w:t>
            </w:r>
            <w:r w:rsidR="002D4E63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wymaganymi atestami.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70.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2D4E63">
            <w:pPr>
              <w:spacing w:line="240" w:lineRule="auto"/>
              <w:ind w:left="0" w:firstLine="0"/>
              <w:rPr>
                <w:rFonts w:cstheme="minorHAnsi"/>
                <w:bCs/>
                <w:sz w:val="24"/>
                <w:szCs w:val="24"/>
              </w:rPr>
            </w:pPr>
            <w:r w:rsidRPr="005A16CE">
              <w:rPr>
                <w:rFonts w:cstheme="minorHAnsi"/>
                <w:bCs/>
                <w:sz w:val="24"/>
                <w:szCs w:val="24"/>
              </w:rPr>
              <w:t>Maszt oraz wszelkie inne akcesoria będą zamontowane zgodnie z</w:t>
            </w:r>
            <w:r w:rsidR="002D4E63">
              <w:rPr>
                <w:rFonts w:cstheme="minorHAnsi"/>
                <w:bCs/>
                <w:sz w:val="24"/>
                <w:szCs w:val="24"/>
              </w:rPr>
              <w:t> </w:t>
            </w:r>
            <w:r w:rsidRPr="005A16CE">
              <w:rPr>
                <w:rFonts w:cstheme="minorHAnsi"/>
                <w:bCs/>
                <w:sz w:val="24"/>
                <w:szCs w:val="24"/>
              </w:rPr>
              <w:t>wymaganiami określonymi przez producentów.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5B0E02" w:rsidRPr="005A16CE" w:rsidTr="000E3F93">
        <w:tc>
          <w:tcPr>
            <w:tcW w:w="9209" w:type="dxa"/>
            <w:gridSpan w:val="3"/>
            <w:vAlign w:val="center"/>
          </w:tcPr>
          <w:p w:rsidR="005B0E02" w:rsidRPr="005A16CE" w:rsidRDefault="005B0E02" w:rsidP="005B0E02">
            <w:pPr>
              <w:pStyle w:val="Nagwek2"/>
              <w:numPr>
                <w:ilvl w:val="0"/>
                <w:numId w:val="0"/>
              </w:numPr>
              <w:spacing w:before="0" w:after="0" w:line="240" w:lineRule="auto"/>
              <w:ind w:left="67"/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Sekcja III. Wymagania dotyczące systemu zasilania Stacji</w:t>
            </w: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5A16C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Lp.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pStyle w:val="Nagwek2"/>
              <w:spacing w:before="0" w:after="0" w:line="240" w:lineRule="auto"/>
              <w:ind w:left="0"/>
              <w:rPr>
                <w:rFonts w:asciiTheme="minorHAnsi" w:hAnsiTheme="minorHAnsi" w:cstheme="minorHAnsi"/>
                <w:i/>
                <w:iCs/>
                <w:szCs w:val="24"/>
              </w:rPr>
            </w:pPr>
            <w:r w:rsidRPr="005A16CE">
              <w:rPr>
                <w:rFonts w:asciiTheme="minorHAnsi" w:hAnsiTheme="minorHAnsi" w:cstheme="minorHAnsi"/>
                <w:iCs/>
                <w:szCs w:val="24"/>
              </w:rPr>
              <w:t xml:space="preserve">Minimalne parametry techniczne Stacji oraz funkcjonalne wymagane przez Zamawiającego.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pStyle w:val="Nagwek2"/>
              <w:spacing w:before="0" w:after="0" w:line="240" w:lineRule="auto"/>
              <w:ind w:left="0"/>
              <w:rPr>
                <w:rFonts w:asciiTheme="minorHAnsi" w:hAnsiTheme="minorHAnsi" w:cstheme="minorHAnsi"/>
                <w:iCs/>
                <w:szCs w:val="24"/>
              </w:rPr>
            </w:pPr>
            <w:r w:rsidRPr="00223B61">
              <w:rPr>
                <w:rFonts w:asciiTheme="minorHAnsi" w:hAnsiTheme="minorHAnsi" w:cstheme="minorHAnsi"/>
                <w:iCs/>
                <w:szCs w:val="22"/>
              </w:rPr>
              <w:t>Wykonawca potwierdza spełnienie wymagania słowem TAK</w:t>
            </w: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71.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2D4E63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  <w:highlight w:val="yellow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wykonana niezależną, pokładową instalację elektryczną o</w:t>
            </w:r>
            <w:r w:rsidR="002D4E63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 xml:space="preserve">napięciu przemiennym 230 V 50 </w:t>
            </w:r>
            <w:proofErr w:type="spellStart"/>
            <w:r w:rsidRPr="005A16CE">
              <w:rPr>
                <w:rFonts w:cstheme="minorHAnsi"/>
                <w:sz w:val="24"/>
                <w:szCs w:val="24"/>
              </w:rPr>
              <w:t>Hz</w:t>
            </w:r>
            <w:proofErr w:type="spellEnd"/>
            <w:r w:rsidRPr="005A16CE">
              <w:rPr>
                <w:rFonts w:cstheme="minorHAnsi"/>
                <w:sz w:val="24"/>
                <w:szCs w:val="24"/>
              </w:rPr>
              <w:t xml:space="preserve">, zwaną dalej Instalacją 230 V, do zasilania wyposażenia pomiarowo-kontrolnego Stacji.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72.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2D4E63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Instalacja 230 V będzie zakończona</w:t>
            </w:r>
            <w:r w:rsidRPr="005A16CE">
              <w:rPr>
                <w:rFonts w:cstheme="minorHAnsi"/>
                <w:color w:val="000000" w:themeColor="text1"/>
                <w:sz w:val="24"/>
                <w:szCs w:val="24"/>
              </w:rPr>
              <w:t xml:space="preserve"> gniazdami elektrycznymi dopuszczonymi </w:t>
            </w:r>
            <w:r w:rsidRPr="005A16CE">
              <w:rPr>
                <w:rFonts w:cstheme="minorHAnsi"/>
                <w:sz w:val="24"/>
                <w:szCs w:val="24"/>
              </w:rPr>
              <w:t>do eksploatacji w Polsce, z których przynajmniej cztery będą zainstalowane w miejscu dostępnym ze stanowiska operatora. Pozostałe gniazda, w odpowiedniej liczbie, Wykonawca zainstaluje mając na względzie konieczność zasilania sprzętu montowanego w</w:t>
            </w:r>
            <w:r w:rsidR="002D4E63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 xml:space="preserve">zainstalowanych w Stacji dwóch szafach typu RACK (min. po 6 szt.).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73.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115" w:hanging="115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Instalacja 230 V będzie doprowadzona również do miejsca dostępnego dla pasażera siedzącego obok kierowcy oraz do przedziału masztowego i zakończona gniazdem elektrycznym.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115" w:hanging="115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74.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2D4E63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 niezależną, pokładową instalację elektryczną o</w:t>
            </w:r>
            <w:r w:rsidR="002D4E63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napięciu stałym 12V, zwaną dalej Instalacją 12 V, do zasilania wyposażenia pomiarowo-kontrolnego Stacji, w tym zapewni zasilanie dostarczonych przez Zamawiającego urządzeń przeznaczonych do zamontowania w szafie RACK 1 i RACK 2.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75.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Ponadto Instalacja 12 V będzie zakończona gniazdami, które będą zainstalowane następująco: 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dostępne dla pasażera siedzącego obok kierowcy, w tym jedno typu zapalniczka samochodowa i 2 gniazda w standardzie USB A o wydajności prądowej min. 2A dla pojedynczego gniazda USB; 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dostępne dla operatora w szafie RACK 1, w tym jedno typu zapalniczka samochodowa i 2 gniazda w standardzie USB A o wydajności prądowej min. 2A dla pojedynczego gniazda USB;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1 gniazdo typu zapalniczka samochodowa w szafie </w:t>
            </w: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RACK 2; 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1 gniazdo </w:t>
            </w:r>
            <w:r w:rsidRPr="005A16CE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typu zapalniczka samochodowa</w:t>
            </w: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 zamontowane w przedziale masztowym;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76.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Instalacja 12V oraz Instalacja 230 V będą zasilane z dodatkowego akumulatora 12V min. 200 Ah zakupionego i zainstalowanego przez Wykonawcę. Akumulator ten będzie zwany dalej Akumulatorem Systemowym i ma on za zadanie zapewnienie pracy zainstalowanej aparatury kontrolno-pomiarowej.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77.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115" w:hanging="115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i zamontuje urządzenie do zarządzania Instalacją 12 V oraz Instalacją 230 V o następujących funkcjonalnościach: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automatyczne ładowanie akumulatora systemowego alternatywnie z zewnętrznego gniazda przyłączeniowego Stacji 230V 50Hz lub z</w:t>
            </w:r>
            <w:r w:rsidR="002D4E63">
              <w:rPr>
                <w:rFonts w:asciiTheme="minorHAnsi" w:hAnsiTheme="minorHAnsi" w:cstheme="minorHAnsi"/>
                <w:sz w:val="24"/>
                <w:szCs w:val="24"/>
              </w:rPr>
              <w:t> </w:t>
            </w: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alternatora samochodowego Stacji;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zabezpieczenie akumulatora systemowego przed całkowitym rozładowaniem skutkującym jego uszkodzeniem;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przemiana napięcia stałego 12 V z akumulatora systemowego na sinusoidalne napięcie przemienne 230 V 50 </w:t>
            </w:r>
            <w:proofErr w:type="spellStart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Hz</w:t>
            </w:r>
            <w:proofErr w:type="spellEnd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 o mocy ciągłej nie mniejszej niż </w:t>
            </w:r>
            <w:r w:rsidRPr="005A16CE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1500 W </w:t>
            </w: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(funkcja przetwornicy napięcia, wymagany przebieg wyjściowy – czysta sinusoida);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zapewnienie ciągłości zasilania Stacji z Instalacji 230 V w przypadku przerw w doprowadzeniu zasilania (funkcja UPS).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115" w:hanging="115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78.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2D4E63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Urządzenie opisane w pkt. 77 będzie połączone przewodowo z panelem sterowania oraz monitorem parametrów jego pracy i stanu akumulatora systemowego. Panel sterowania pracy urządzenia oraz monitor parametrów pracy akumulatora systemowego może stanowić jedno urządzenie lub dwa oddzielne, przy czym muszą one być umieszczone w</w:t>
            </w:r>
            <w:r w:rsidR="002D4E63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miejscu widocznym i dostępnym do obsługi z miejsca Operatora.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79.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Panel sterowania, o jakim mowa w pkt. 78 powinien: 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zapewnić pełne sterowanie urządzenia opisanego w pkt. 77 w tym w szczególności: włączenie i wyłączenie urządzenia oraz możliwość włączenia urządzenia w funkcji wyłącznie ładowarki akumulatora systemowego (bez funkcji przetwornicy napięcia 12 V/230 V);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umożliwić Operatorowi, regulację prądu wejściowego automatycznej ładowarki akumulatora systemowego z zewnętrznego gniazda przyłączeniowego do zasilania Stacji.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80.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Monitor parametrów pracy Akumulatora Systemowego, o jakim mowa w</w:t>
            </w:r>
            <w:r w:rsidR="004B3056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pkt. 78, powinien: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wskazywać naprzemiennie stan naładowania akumulatora systemowego wyrażony w [%], napięcie na jego zaciskach, prąd jego ładowania/rozładowania, szacowany czas pracy na akumulatorze systemowym;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mieć możliwość kalibracji monitora w zależności od pojemności zastosowanego akumulatora oraz przy zmniejszaniu się pojemności akumulatora systemowego wraz z czasem jego używania;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sygnalizować Operatorowi poziom zbyt niskiego lub zbyt wysokiego napięcia akumulatora systemowego.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81.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4B3056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zainstaluje zewnętrzne gniazdo przyłączeniowe do zasilania Stacji z sieci 230 V, spełniające wymagania dotyczące szczelności i</w:t>
            </w:r>
            <w:r w:rsidR="004B3056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 xml:space="preserve">bezpieczeństwa użytkowania, zapewniające jego bezpieczną eksploatację także podczas opadów atmosferycznych. Gniazdo będzie zainstalowane na </w:t>
            </w:r>
            <w:r w:rsidRPr="005A16CE">
              <w:rPr>
                <w:rFonts w:cstheme="minorHAnsi"/>
                <w:color w:val="000000" w:themeColor="text1"/>
                <w:sz w:val="24"/>
                <w:szCs w:val="24"/>
              </w:rPr>
              <w:t xml:space="preserve">prawym </w:t>
            </w:r>
            <w:r w:rsidRPr="005A16CE">
              <w:rPr>
                <w:rFonts w:cstheme="minorHAnsi"/>
                <w:sz w:val="24"/>
                <w:szCs w:val="24"/>
              </w:rPr>
              <w:t>boku Stacji, w tylnej jego części i podłączone do wejścia 230 V urządzenia opisanego w pkt. 81 Zainstalowane gniazdo musi posiadać mechanizm automatycznie usuwający włożoną wtyczkę przewodu opisanego w pkt. 82 po uruchomieniu silnika pojazdu.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82.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4B3056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i dostarczy 2 szt. wodoodpornego przewodu o</w:t>
            </w:r>
            <w:r w:rsidR="004B3056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 xml:space="preserve">długości 10 m wykonany z linki miedzianej o przekroju minimum 3x1,5 </w:t>
            </w:r>
            <w:r w:rsidRPr="005A16CE">
              <w:rPr>
                <w:rFonts w:cstheme="minorHAnsi"/>
                <w:sz w:val="24"/>
                <w:szCs w:val="24"/>
              </w:rPr>
              <w:lastRenderedPageBreak/>
              <w:t>mm</w:t>
            </w:r>
            <w:r w:rsidRPr="005A16CE">
              <w:rPr>
                <w:rFonts w:cstheme="minorHAnsi"/>
                <w:sz w:val="24"/>
                <w:szCs w:val="24"/>
                <w:vertAlign w:val="superscript"/>
              </w:rPr>
              <w:t>2</w:t>
            </w:r>
            <w:r w:rsidRPr="005A16CE">
              <w:rPr>
                <w:rFonts w:cstheme="minorHAnsi"/>
                <w:sz w:val="24"/>
                <w:szCs w:val="24"/>
              </w:rPr>
              <w:t xml:space="preserve"> w izolacji gumowej, do połączenia gniazda zewnętrznego Stacji, opisanego w pkt. 78 z zewnętrznym źródłem zasilania 230 V 50 </w:t>
            </w:r>
            <w:proofErr w:type="spellStart"/>
            <w:r w:rsidRPr="005A16CE">
              <w:rPr>
                <w:rFonts w:cstheme="minorHAnsi"/>
                <w:sz w:val="24"/>
                <w:szCs w:val="24"/>
              </w:rPr>
              <w:t>Hz</w:t>
            </w:r>
            <w:proofErr w:type="spellEnd"/>
            <w:r w:rsidRPr="005A16CE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83.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i dostarczy wodoodporny przedłużacz o długości 40 m wykonany z linki miedzianej o przekroju minimum 3x1,5 mm</w:t>
            </w:r>
            <w:r w:rsidRPr="005A16CE">
              <w:rPr>
                <w:rFonts w:cstheme="minorHAnsi"/>
                <w:sz w:val="24"/>
                <w:szCs w:val="24"/>
                <w:vertAlign w:val="superscript"/>
              </w:rPr>
              <w:t>2</w:t>
            </w:r>
            <w:r w:rsidRPr="005A16CE">
              <w:rPr>
                <w:rFonts w:cstheme="minorHAnsi"/>
                <w:sz w:val="24"/>
                <w:szCs w:val="24"/>
              </w:rPr>
              <w:t xml:space="preserve"> w izolacji gumowej, zwijany na bębnie z 4 gniazdami.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84.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4B3056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zapewni zastosowanie środków technicznych umożliwiających ładowanie akumulatora systemowego za pomocą alternatora samochodowego Stacji bez szkody dla zasilania urządzeń i</w:t>
            </w:r>
            <w:r w:rsidR="004B3056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procesu ładowania fabrycznie zamontowanych akumulatorów samochodowych Stacji.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85.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115" w:hanging="115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przenośny agregat prądotwórczy zasilany benzyną bezołowiową 95, o parametrach: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przystosowany do zasilania sprzętu elektronicznego (charakterystyka sinusoidalna);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moc nominalna minimum </w:t>
            </w:r>
            <w:r w:rsidRPr="005A16CE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1,5 kVA;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maksymalny ciężar agregatu 25 kg;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min. 2 gniazda 230 V.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115" w:hanging="115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86.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atestowany kanister o pojemności 5 litrów.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87.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 Instalację 230 V oraz Instalację 12 V w taki sposób, aby zapewnić: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bezpieczną i zgodną z przepisami BHP jej eksploatację zarówno podczas zasilania z sieci zewnętrznej, agregatu prądotwórczego oraz akumulatora systemowego;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możliwość ładowania akumulatora systemowego z zewnętrznej sieci 230 V bez konieczności nadzoru;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 xml:space="preserve">zabezpieczenie układów i urządzeń Stacji zrealizowane za pomocą odpowiednich bezpieczników nadprądowych i różnicowoprądowych zainstalowanych w tzw. skrzynce rozdzielczej znajdującej się w przedziale operatorskim;  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odpowiednie uziemienie Stacji (uziom szpilkowy).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88.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pStyle w:val="Nagwek2"/>
              <w:spacing w:before="0" w:after="0" w:line="240" w:lineRule="auto"/>
              <w:ind w:left="0"/>
              <w:rPr>
                <w:rFonts w:asciiTheme="minorHAnsi" w:hAnsiTheme="minorHAnsi" w:cstheme="minorHAnsi"/>
                <w:b w:val="0"/>
                <w:i/>
                <w:color w:val="FF0000"/>
                <w:szCs w:val="24"/>
              </w:rPr>
            </w:pPr>
            <w:r w:rsidRPr="005A16CE">
              <w:rPr>
                <w:rFonts w:asciiTheme="minorHAnsi" w:hAnsiTheme="minorHAnsi" w:cstheme="minorHAnsi"/>
                <w:b w:val="0"/>
                <w:szCs w:val="24"/>
              </w:rPr>
              <w:t xml:space="preserve">Wykonawca wykona zabezpieczenie Instalacji 230 V i Instalacji 12 V umożliwiające ich natychmiastowe wyłączenie z przedziału operatorskiego oraz masztowego. Zabezpieczenie musi spełniać wymagania BHP.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pStyle w:val="Nagwek2"/>
              <w:spacing w:before="0" w:after="0" w:line="240" w:lineRule="auto"/>
              <w:ind w:left="0"/>
              <w:rPr>
                <w:rFonts w:asciiTheme="minorHAnsi" w:hAnsiTheme="minorHAnsi" w:cstheme="minorHAnsi"/>
                <w:b w:val="0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89.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pStyle w:val="Nagwek2"/>
              <w:spacing w:before="0" w:after="0" w:line="240" w:lineRule="auto"/>
              <w:ind w:left="0"/>
              <w:rPr>
                <w:rFonts w:asciiTheme="minorHAnsi" w:hAnsiTheme="minorHAnsi" w:cstheme="minorHAnsi"/>
                <w:b w:val="0"/>
                <w:i/>
                <w:szCs w:val="24"/>
              </w:rPr>
            </w:pPr>
            <w:r w:rsidRPr="005A16CE">
              <w:rPr>
                <w:rFonts w:asciiTheme="minorHAnsi" w:hAnsiTheme="minorHAnsi" w:cstheme="minorHAnsi"/>
                <w:b w:val="0"/>
                <w:szCs w:val="24"/>
              </w:rPr>
              <w:t xml:space="preserve">Wykonawca zakupi i zainstaluje na stałe prostownik, który automatycznie zapewni ładowanie akumulatora samochodowego w czasie, gdy do Stacji zostanie podłączone zewnętrzne źródło zasilania 230 V 50 </w:t>
            </w:r>
            <w:proofErr w:type="spellStart"/>
            <w:r w:rsidRPr="005A16CE">
              <w:rPr>
                <w:rFonts w:asciiTheme="minorHAnsi" w:hAnsiTheme="minorHAnsi" w:cstheme="minorHAnsi"/>
                <w:b w:val="0"/>
                <w:szCs w:val="24"/>
              </w:rPr>
              <w:t>Hz</w:t>
            </w:r>
            <w:proofErr w:type="spellEnd"/>
            <w:r w:rsidRPr="005A16CE">
              <w:rPr>
                <w:rFonts w:asciiTheme="minorHAnsi" w:hAnsiTheme="minorHAnsi" w:cstheme="minorHAnsi"/>
                <w:b w:val="0"/>
                <w:szCs w:val="24"/>
              </w:rPr>
              <w:t>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pStyle w:val="Nagwek2"/>
              <w:spacing w:before="0" w:after="0" w:line="240" w:lineRule="auto"/>
              <w:ind w:left="0"/>
              <w:rPr>
                <w:rFonts w:asciiTheme="minorHAnsi" w:hAnsiTheme="minorHAnsi" w:cstheme="minorHAnsi"/>
                <w:b w:val="0"/>
                <w:szCs w:val="24"/>
              </w:rPr>
            </w:pPr>
          </w:p>
        </w:tc>
      </w:tr>
      <w:tr w:rsidR="005B0E02" w:rsidRPr="005A16CE" w:rsidTr="005B0E02">
        <w:trPr>
          <w:trHeight w:val="406"/>
        </w:trPr>
        <w:tc>
          <w:tcPr>
            <w:tcW w:w="9209" w:type="dxa"/>
            <w:gridSpan w:val="3"/>
            <w:vAlign w:val="center"/>
          </w:tcPr>
          <w:p w:rsidR="005B0E02" w:rsidRPr="005A16CE" w:rsidRDefault="005B0E02" w:rsidP="005B0E02">
            <w:pPr>
              <w:pStyle w:val="Nagwek2"/>
              <w:numPr>
                <w:ilvl w:val="0"/>
                <w:numId w:val="0"/>
              </w:numPr>
              <w:spacing w:before="0" w:after="0" w:line="240" w:lineRule="auto"/>
              <w:ind w:left="-482"/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Sekcja IV. Wymagania dotyczące okablowania sterującego i okablowania w.cz.</w:t>
            </w: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5A16C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Lp.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pStyle w:val="Nagwek2"/>
              <w:spacing w:before="0" w:after="0" w:line="240" w:lineRule="auto"/>
              <w:ind w:left="0"/>
              <w:rPr>
                <w:rFonts w:asciiTheme="minorHAnsi" w:hAnsiTheme="minorHAnsi" w:cstheme="minorHAnsi"/>
                <w:i/>
                <w:iCs/>
                <w:szCs w:val="24"/>
              </w:rPr>
            </w:pPr>
            <w:r w:rsidRPr="005A16CE">
              <w:rPr>
                <w:rFonts w:asciiTheme="minorHAnsi" w:hAnsiTheme="minorHAnsi" w:cstheme="minorHAnsi"/>
                <w:iCs/>
                <w:szCs w:val="24"/>
              </w:rPr>
              <w:t>Minimalne parametry techniczne Stacji oraz funkcjonalne wymagane przez Zamawiającego.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pStyle w:val="Nagwek2"/>
              <w:spacing w:before="0" w:after="0" w:line="240" w:lineRule="auto"/>
              <w:ind w:left="0"/>
              <w:rPr>
                <w:rFonts w:asciiTheme="minorHAnsi" w:hAnsiTheme="minorHAnsi" w:cstheme="minorHAnsi"/>
                <w:iCs/>
                <w:szCs w:val="24"/>
              </w:rPr>
            </w:pPr>
            <w:r w:rsidRPr="00223B61">
              <w:rPr>
                <w:rFonts w:asciiTheme="minorHAnsi" w:hAnsiTheme="minorHAnsi" w:cstheme="minorHAnsi"/>
                <w:iCs/>
                <w:szCs w:val="22"/>
              </w:rPr>
              <w:t>Wykonawca potwierdza spełnienie wymagania słowem TAK</w:t>
            </w: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90.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przewód sygnałowy w.cz. (50 Ohm) o następujących parametrach: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 xml:space="preserve">maksymalne tłumienie jednostkowe przewodu w zakresie częstotliwości od 20 MHz do 6 GHz nie większe niż 80 </w:t>
            </w:r>
            <w:proofErr w:type="spellStart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dB</w:t>
            </w:r>
            <w:proofErr w:type="spellEnd"/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/100 m;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przewód musi posiadać podwójny ekran (oplot).</w:t>
            </w:r>
          </w:p>
          <w:p w:rsidR="005B0E02" w:rsidRPr="005A16CE" w:rsidRDefault="005B0E02" w:rsidP="005B0E02">
            <w:pPr>
              <w:tabs>
                <w:tab w:val="left" w:pos="20"/>
              </w:tabs>
              <w:spacing w:line="240" w:lineRule="auto"/>
              <w:ind w:left="20" w:firstLine="95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poprowadzi jednorodny przewód od Komutatora, opisanego w pkt. 103, do punktu trwale przytwierdzonego do zwieńczenia Masztu w taki sposób, aby przewód zwijał się i rozwijał samoistnie spiralnie bez pomocy Operatora. Przewód w.cz. na szczycie Masztu ma być zakończony gniazdem typu „N”.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91.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250" w:hanging="283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prz</w:t>
            </w:r>
            <w:r>
              <w:rPr>
                <w:rFonts w:cstheme="minorHAnsi"/>
                <w:sz w:val="24"/>
                <w:szCs w:val="24"/>
              </w:rPr>
              <w:t>ewód sygnałowy w.cz. (75 Ohm) o </w:t>
            </w:r>
            <w:r w:rsidRPr="005A16CE">
              <w:rPr>
                <w:rFonts w:cstheme="minorHAnsi"/>
                <w:sz w:val="24"/>
                <w:szCs w:val="24"/>
              </w:rPr>
              <w:t>następujących parametrach:</w:t>
            </w:r>
          </w:p>
          <w:p w:rsidR="005B0E02" w:rsidRDefault="005B0E02" w:rsidP="00915E44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B0E02">
              <w:rPr>
                <w:rFonts w:asciiTheme="minorHAnsi" w:hAnsiTheme="minorHAnsi" w:cstheme="minorHAnsi"/>
                <w:sz w:val="24"/>
                <w:szCs w:val="24"/>
              </w:rPr>
              <w:t xml:space="preserve">maksymalne tłumienie jednostkowe przewodu w zakresie częstotliwości od 20 MHz do 2,4 GHz nie większe niż 30 </w:t>
            </w:r>
            <w:proofErr w:type="spellStart"/>
            <w:r w:rsidRPr="005B0E02">
              <w:rPr>
                <w:rFonts w:asciiTheme="minorHAnsi" w:hAnsiTheme="minorHAnsi" w:cstheme="minorHAnsi"/>
                <w:sz w:val="24"/>
                <w:szCs w:val="24"/>
              </w:rPr>
              <w:t>dB</w:t>
            </w:r>
            <w:proofErr w:type="spellEnd"/>
            <w:r w:rsidRPr="005B0E02">
              <w:rPr>
                <w:rFonts w:asciiTheme="minorHAnsi" w:hAnsiTheme="minorHAnsi" w:cstheme="minorHAnsi"/>
                <w:sz w:val="24"/>
                <w:szCs w:val="24"/>
              </w:rPr>
              <w:t>/100 m;</w:t>
            </w:r>
          </w:p>
          <w:p w:rsidR="005B0E02" w:rsidRPr="005B0E02" w:rsidRDefault="005B0E02" w:rsidP="00915E44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B0E02">
              <w:rPr>
                <w:rFonts w:asciiTheme="minorHAnsi" w:hAnsiTheme="minorHAnsi" w:cstheme="minorHAnsi"/>
                <w:sz w:val="24"/>
                <w:szCs w:val="24"/>
              </w:rPr>
              <w:t>przewód musi posiadać podwójny ekran (oplot).</w:t>
            </w:r>
          </w:p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poprowadzi jednorodny przewód od przewidzianego w pkt. 105 odbiornika TV DVB-T2, do punktu trwale przytwierdzonego do zwieńczenia Masztu w taki sposób, aby przewód zwijał się i rozwijał samoistnie spiralnie bez pomocy Operatora. Przewód w.cz. na szczycie Masztu ma być zakończony gniazdem typu „F”.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92.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4B3056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zakupi, wykona przewód sterujący umożliwiający połączenie zespołu rotatorów V/H z jego sterownikiem i poprowadzi go łącznie z</w:t>
            </w:r>
            <w:r w:rsidR="004B3056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przewodami sygnałowymi w. cz. opisanymi w pkt. 90 i 91 do punktu trwale przytwierdzonego do zwieńczenia Masztu w taki sposób, aby przewód zwijał się i rozwijał samoistnie spiralnie bez pomocy Operatora oraz zapewni możliwość podłączenia tego przewodu do zespołu rotatorów V/H.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93.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dostarczy przewody zakończone wtykami „N” (min 5 szt.) w.cz. (tzw. jumpery) łączące punkt trwale przytwierdzony do zwieńczenia Masztu z dowolnymi zainstalowanymi na Rotatorze antenami w taki sposób, aby zapewniały możliwość swobodnego obrotu anteny w całym zakresie obrotu Rotatora. Parametry przewodów w zakresie tłumienia powinny być nie gorsze niż wymienione w pkt. 90.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94.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i zainstaluję podstawę do montażu prętowej anteny dachowej dookólnej na obecne pasma komórkowe z możliwością instalacji wymiennych promienników (standard M5/M6) umieszczoną nad stanowiskiem kierowcy z kablem 50 Ohm poprowadzonym pod tapicerką i deską rozdzielczą samochodu zakończona gniazdem typu „N” na desce rozdzielczej po stronie pasażera.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95.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4B3056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i zainstaluję podstawę do montażu prętowej anteny dachowej dookólnej na popularne pasma radiokomunikacyjne z</w:t>
            </w:r>
            <w:r w:rsidR="004B3056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wymiennym promiennikiem (standard UC1) umieszczoną nad stanowiskiem pasażera z kablem 50 Ohm poprowadzonym pod tapicerką i deską rozdzielczą samochodu zakończoną gniazdem typu „N” na desce rozdzielczej po stronie pasażera.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96.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4B3056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 niezbędne stałe połączenia RF prowadzone w</w:t>
            </w:r>
            <w:r w:rsidR="004B3056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 xml:space="preserve">kanałach kablowych pomiędzy wyjściami komutatora a odbiornikiem ESMB dostarczonym przez zamawiającego, szafą RACK 1 i RACK 2 (zakończone wtykami typu N) oraz stanowiskiem pasażera zakończone </w:t>
            </w:r>
            <w:r w:rsidRPr="005A16CE">
              <w:rPr>
                <w:rFonts w:cstheme="minorHAnsi"/>
                <w:sz w:val="24"/>
                <w:szCs w:val="24"/>
              </w:rPr>
              <w:lastRenderedPageBreak/>
              <w:t>gniazdem „N”. Parametry przewodów w zakresie tłumienia powinny być nie gorsze niż wymienione w pkt. 90. Długości przewodów w szafach RACK 1 i RACK 2 powinny umożliwiać podłączenie dowolnego urządzenia używanego na stanowisku operatora.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97.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BB6FAA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zapewni miejsce do instalacji komputera w formacie 2U w</w:t>
            </w:r>
            <w:r w:rsidR="004B3056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szafie RACK 1 oraz wykona pełne okablowanie umożliwiające jego podłączenie oraz działanie (m.in. kable zasilające do komputera i</w:t>
            </w:r>
            <w:r w:rsidR="00BB6FAA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 xml:space="preserve">monitora, kabel HDMI, RS-232, 4xUSB 3.0, audio </w:t>
            </w:r>
            <w:proofErr w:type="spellStart"/>
            <w:r w:rsidRPr="005A16CE">
              <w:rPr>
                <w:rFonts w:cstheme="minorHAnsi"/>
                <w:sz w:val="24"/>
                <w:szCs w:val="24"/>
              </w:rPr>
              <w:t>jack</w:t>
            </w:r>
            <w:proofErr w:type="spellEnd"/>
            <w:r w:rsidRPr="005A16CE">
              <w:rPr>
                <w:rFonts w:cstheme="minorHAnsi"/>
                <w:sz w:val="24"/>
                <w:szCs w:val="24"/>
              </w:rPr>
              <w:t>).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98.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dokona demontażu odbiornika ESMB oraz procesora namierzającego EBD195 wraz z osprzętem z będących na wyposażeniu stacji pomiarowych dostarczonych przez Zamawiającego oraz dokona montażu w zamawianej Stacji, w szafie RACK 1 wraz z wykonaniem niezbędnego okablowania.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99.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Wykonawca dokona demontażu anteny namierzającej ADD195 wraz z osprzętem z będących na wyposażeniu stacji pomiarowych dostarczonych przez Zamawiającego oraz dokona montażu w zamawianej Stacji na platformie dachowej, połączy ją z komutatorem i procesorem EBD195.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100.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Wykonawca wykona okablowanie stanowiące wewnętrzną sieć LAN 1 </w:t>
            </w:r>
            <w:proofErr w:type="spellStart"/>
            <w:r w:rsidRPr="005A16CE">
              <w:rPr>
                <w:rFonts w:cstheme="minorHAnsi"/>
                <w:sz w:val="24"/>
                <w:szCs w:val="24"/>
              </w:rPr>
              <w:t>Gb</w:t>
            </w:r>
            <w:proofErr w:type="spellEnd"/>
            <w:r w:rsidRPr="005A16CE">
              <w:rPr>
                <w:rFonts w:cstheme="minorHAnsi"/>
                <w:sz w:val="24"/>
                <w:szCs w:val="24"/>
              </w:rPr>
              <w:t xml:space="preserve">/s opartą na </w:t>
            </w:r>
            <w:proofErr w:type="spellStart"/>
            <w:r w:rsidRPr="005A16CE">
              <w:rPr>
                <w:rFonts w:cstheme="minorHAnsi"/>
                <w:sz w:val="24"/>
                <w:szCs w:val="24"/>
              </w:rPr>
              <w:t>switchu</w:t>
            </w:r>
            <w:proofErr w:type="spellEnd"/>
            <w:r w:rsidRPr="005A16CE">
              <w:rPr>
                <w:rFonts w:cstheme="minorHAnsi"/>
                <w:sz w:val="24"/>
                <w:szCs w:val="24"/>
              </w:rPr>
              <w:t xml:space="preserve"> opisanym w pkt. 106, do komunikacji aparatury pomiarowej i sterowania urządzeniami za pośrednictwem komputera zamontowanego w Stacji. </w:t>
            </w:r>
          </w:p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Dodatkowe gniazda LAN będą zamontowane:</w:t>
            </w:r>
          </w:p>
          <w:p w:rsidR="005B0E02" w:rsidRPr="005A16CE" w:rsidRDefault="005B0E02" w:rsidP="005B0E02">
            <w:pPr>
              <w:tabs>
                <w:tab w:val="left" w:pos="20"/>
              </w:tabs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- 2 szt. w szafie RACK 1, w miejscu dostępnym dla Operatora,</w:t>
            </w:r>
          </w:p>
          <w:p w:rsidR="005B0E02" w:rsidRPr="005A16CE" w:rsidRDefault="005B0E02" w:rsidP="005B0E02">
            <w:pPr>
              <w:tabs>
                <w:tab w:val="left" w:pos="20"/>
              </w:tabs>
              <w:spacing w:line="240" w:lineRule="auto"/>
              <w:ind w:left="20" w:hanging="2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- 2 szt. w szafie RACK 2, w miejscu dostępnym dla Operatora,</w:t>
            </w:r>
          </w:p>
          <w:p w:rsidR="005B0E02" w:rsidRPr="00F97497" w:rsidRDefault="005B0E02" w:rsidP="00F97497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- 1 szt. w miejscu dostępnym dla pasażera siedzącego obok kierowcy.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0E3F93">
        <w:tc>
          <w:tcPr>
            <w:tcW w:w="9209" w:type="dxa"/>
            <w:gridSpan w:val="3"/>
            <w:vAlign w:val="center"/>
          </w:tcPr>
          <w:p w:rsidR="005B0E02" w:rsidRPr="005A16CE" w:rsidRDefault="005B0E02" w:rsidP="005B0E02">
            <w:pPr>
              <w:pStyle w:val="Nagwek2"/>
              <w:numPr>
                <w:ilvl w:val="0"/>
                <w:numId w:val="0"/>
              </w:numPr>
              <w:spacing w:before="0" w:after="0" w:line="240" w:lineRule="auto"/>
              <w:ind w:left="-480"/>
              <w:jc w:val="center"/>
              <w:rPr>
                <w:rFonts w:asciiTheme="minorHAnsi" w:hAnsiTheme="minorHAnsi" w:cstheme="minorHAnsi"/>
                <w:szCs w:val="24"/>
              </w:rPr>
            </w:pPr>
            <w:r w:rsidRPr="005A16CE">
              <w:rPr>
                <w:rFonts w:asciiTheme="minorHAnsi" w:hAnsiTheme="minorHAnsi" w:cstheme="minorHAnsi"/>
                <w:szCs w:val="24"/>
              </w:rPr>
              <w:t>Sekcja V Wymagania do</w:t>
            </w:r>
            <w:r>
              <w:rPr>
                <w:rFonts w:asciiTheme="minorHAnsi" w:hAnsiTheme="minorHAnsi" w:cstheme="minorHAnsi"/>
                <w:szCs w:val="24"/>
              </w:rPr>
              <w:t>tyczące wyposażenia dodatkowego</w:t>
            </w: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5A16C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Lp.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pStyle w:val="Nagwek2"/>
              <w:spacing w:before="0" w:after="0" w:line="240" w:lineRule="auto"/>
              <w:ind w:left="0"/>
              <w:rPr>
                <w:rFonts w:asciiTheme="minorHAnsi" w:hAnsiTheme="minorHAnsi" w:cstheme="minorHAnsi"/>
                <w:i/>
                <w:iCs/>
                <w:szCs w:val="24"/>
              </w:rPr>
            </w:pPr>
            <w:r w:rsidRPr="005A16CE">
              <w:rPr>
                <w:rFonts w:asciiTheme="minorHAnsi" w:hAnsiTheme="minorHAnsi" w:cstheme="minorHAnsi"/>
                <w:iCs/>
                <w:szCs w:val="24"/>
              </w:rPr>
              <w:t xml:space="preserve">Minimalne parametry techniczne Stacji oraz funkcjonalne wymagane przez Zamawiającego.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pStyle w:val="Nagwek2"/>
              <w:spacing w:before="0" w:after="0" w:line="240" w:lineRule="auto"/>
              <w:ind w:left="0"/>
              <w:rPr>
                <w:rFonts w:asciiTheme="minorHAnsi" w:hAnsiTheme="minorHAnsi" w:cstheme="minorHAnsi"/>
                <w:iCs/>
                <w:szCs w:val="24"/>
              </w:rPr>
            </w:pPr>
            <w:r w:rsidRPr="00223B61">
              <w:rPr>
                <w:rFonts w:asciiTheme="minorHAnsi" w:hAnsiTheme="minorHAnsi" w:cstheme="minorHAnsi"/>
                <w:iCs/>
                <w:szCs w:val="22"/>
              </w:rPr>
              <w:t>Wykonawca potwierdza spełnienie wymagania słowem TAK</w:t>
            </w: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101.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Wykonawca zakupi i zamontuje różnicowy odbiornik GPS wraz z anteną umożliwiającą lokalizację stacji na podstawie sygnałów satelitarnych oraz określający orientację stacji względem północy. Rozwiązanie powinno posiadać wyświetlacz na stanowisku operatora przedstawiający pozycję GPS i orientację </w:t>
            </w:r>
          </w:p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w terenie względem północy oraz interfejs umożliwiający komunikację z komputerem. Wykonawca dostarczy wykaz i opis komend umożliwiających komunikację z komputerem.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102.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i zamontuje rubidowy wzorzec częstotliwości referencyjnej 10 MHz wraz z anteną zewnętrzną, synchronizowany sygnałem GPS. Wzorzec powinien posiadać co najmniej dwa wyjścia doprowadzone do szaf RACK 1 i RACK 2. Dodatkowo wykonawca wyprowadzi sygnał 1 PPS z dostarczonego wzorca częstotliwości.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103.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trike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Wykonawca zakupi i zainstaluje komutator antenowy RF o paśmie przenoszenia min od 20 MHz do 6 GHz w konfiguracji 4 wejścia 4 wyjścia, </w:t>
            </w:r>
            <w:r w:rsidRPr="005A16CE">
              <w:rPr>
                <w:rFonts w:cstheme="minorHAnsi"/>
                <w:sz w:val="24"/>
                <w:szCs w:val="24"/>
              </w:rPr>
              <w:lastRenderedPageBreak/>
              <w:t>umożliwiający zestawienie co najmniej jednej ścieżki pomiarowej, umieszczony w przedziale masztowym w okolicy przepustu kablowego. Komutator musi mieć możliwość sterowania za pośrednictwem kontrolera zakupionego przez wykonawcę.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104.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4B3056">
            <w:pPr>
              <w:spacing w:line="240" w:lineRule="auto"/>
              <w:ind w:left="0" w:firstLine="0"/>
              <w:rPr>
                <w:rFonts w:cstheme="minorHAnsi"/>
                <w:strike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oraz zainstaluje w szafie RACK 1 kontroler sterujący komutatorem antenowym RF opisanym w pkt. 103. Urządzenie powinno posiadać wyświetlacz obrazujący aktualny stan połączeń w.cz. oraz interfejs umożliwiający sterowanie z komputera. Wykonawca dostarczy wykaz i opis komend sterowania i odczytu komutowanego toru w.cz., za pomocą komputera. Kontroler może stanowić jedną całość z opisanym w</w:t>
            </w:r>
            <w:r w:rsidR="004B3056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pkt. 52 sterownikiem Rotatora.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105.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Wykonawca zakupi, zamontuje nad szafą RACK 2 odbiornik telewizyjny DVB-T2 (HEVC) o przekątnej min. 22 cali i rozdzielczości nominalnej min. 1920 x 1080 pikseli, wyposażony w złącza HDMI i USB.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106.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4B3056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Wykonawca zakupi i zamontuje </w:t>
            </w:r>
            <w:proofErr w:type="spellStart"/>
            <w:r w:rsidRPr="005A16CE">
              <w:rPr>
                <w:rFonts w:cstheme="minorHAnsi"/>
                <w:sz w:val="24"/>
                <w:szCs w:val="24"/>
              </w:rPr>
              <w:t>switch</w:t>
            </w:r>
            <w:proofErr w:type="spellEnd"/>
            <w:r w:rsidRPr="005A16CE">
              <w:rPr>
                <w:rFonts w:cstheme="minorHAnsi"/>
                <w:sz w:val="24"/>
                <w:szCs w:val="24"/>
              </w:rPr>
              <w:t xml:space="preserve"> minimum 8-portowy o</w:t>
            </w:r>
            <w:r w:rsidR="004B3056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 xml:space="preserve">przepływności każdego z portów min. 1 </w:t>
            </w:r>
            <w:proofErr w:type="spellStart"/>
            <w:r w:rsidRPr="005A16CE">
              <w:rPr>
                <w:rFonts w:cstheme="minorHAnsi"/>
                <w:sz w:val="24"/>
                <w:szCs w:val="24"/>
              </w:rPr>
              <w:t>Gb</w:t>
            </w:r>
            <w:proofErr w:type="spellEnd"/>
            <w:r w:rsidRPr="005A16CE">
              <w:rPr>
                <w:rFonts w:cstheme="minorHAnsi"/>
                <w:sz w:val="24"/>
                <w:szCs w:val="24"/>
              </w:rPr>
              <w:t>/s, z możliwością podłączenia wkładki światłowodowej, do komunikacji aparatury pomiarowej i</w:t>
            </w:r>
            <w:r w:rsidR="004B3056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kontrolnej.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107.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4B3056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i zamontuje trwale w przedziale operatorskim w</w:t>
            </w:r>
            <w:r w:rsidR="004B3056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szafie RACK 2 sieciową drukarkę laserową, podłączoną do wewnętrznej sieci LAN.</w:t>
            </w:r>
            <w:r w:rsidR="000E3F93">
              <w:rPr>
                <w:rFonts w:cstheme="minorHAnsi"/>
                <w:sz w:val="24"/>
                <w:szCs w:val="24"/>
              </w:rPr>
              <w:t xml:space="preserve"> Dodatkowo wykona wyłącznik zasilania zapewniający galwaniczne odłączenie drukarki od źródła zasilania w czasie kiedy nie jest ona wykorzystywana.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108.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115" w:hanging="115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i zainstaluje na platformie dachowej pojazdu lampę/y sygnalizacyjną/e koloru pomarańczowego widoczną/e z każdego kierunku (lampa typu kogut).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115" w:hanging="115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109.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 zainstalowane na stałe wewnątrz Stacji dodatkowe oświetlenie LED zapewniające: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zgodną z przepisami BHP pracę na stanowisku Operatora, w tym oświetlenie punktowe w okolicach szafy RACK 1 i RACK 2;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prawidłowe i funkcjonalne oświe</w:t>
            </w:r>
            <w:r w:rsidR="00BB6FAA">
              <w:rPr>
                <w:rFonts w:asciiTheme="minorHAnsi" w:hAnsiTheme="minorHAnsi" w:cstheme="minorHAnsi"/>
                <w:sz w:val="24"/>
                <w:szCs w:val="24"/>
              </w:rPr>
              <w:t>tlenie w przedziale masztowym i </w:t>
            </w: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przestrzeni bagażowej niezbędne do wynoszenia i ponownego instalowania transportowanych w niej akcesoriów.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110.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ręczny reflektor akumulatorowy z niezbędnymi akcesoriami i zaplanuje miejsce do jego transportowania. Reflektor musi posiadać następujące parametry: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jasność świecenia nie mniejszą niż 800 lm;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możliwość ładowania wewnętrznego akumulatora za pomocą ładowarki 12 V (gniazdo zapalniczki);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wagę nieprzekraczającą 2 kg;</w:t>
            </w:r>
          </w:p>
          <w:p w:rsidR="005B0E02" w:rsidRPr="005A16CE" w:rsidRDefault="005B0E02" w:rsidP="005B0E02">
            <w:pPr>
              <w:pStyle w:val="Akapitzlist"/>
              <w:numPr>
                <w:ilvl w:val="0"/>
                <w:numId w:val="3"/>
              </w:numPr>
              <w:tabs>
                <w:tab w:val="left" w:pos="20"/>
              </w:tabs>
              <w:suppressAutoHyphens w:val="0"/>
              <w:ind w:left="303" w:hanging="283"/>
              <w:contextualSpacing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A16CE">
              <w:rPr>
                <w:rFonts w:asciiTheme="minorHAnsi" w:hAnsiTheme="minorHAnsi" w:cstheme="minorHAnsi"/>
                <w:sz w:val="24"/>
                <w:szCs w:val="24"/>
              </w:rPr>
              <w:t>dodatkowy „sprężynowy” kabel zasilający 12 V, nie krótszy niż 5 m, zakończony wtyczką gniazda zapalniczki samochodowej.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111.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4B3056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wykona oświetlenie miejsca na dachu wykorzystywanego w</w:t>
            </w:r>
            <w:r w:rsidR="004B3056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czasie montażu rotatora i anten, masztu oraz otoczenia z tyłu pojazdu, załączane z pozycji kierowcy lub pasażera, mając na względzie ergonomię pracy.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lastRenderedPageBreak/>
              <w:t>112.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Wykonawca zakupi i zamontuje w przedziale operatorskim czujnik tlenku węgla z sygnalizacją akustyczną.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113.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i zainstaluje system wizyjny składający się z kamery wraz z dedykowanym monitorem o przekątnej 5 - 10 cali, umożliwiający nadzór wizualny masztu ze stanowiska operatora. Wyświetlacz i kamera muszą być odporne na zakłócenia, niedopuszczalna jest degradacja jakości obrazu na wyświetlaczu.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114.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Wykonawca zakupi i poprowadzi kabel HDMI w standardzie 2.1 pomiędzy szafą RACK 1 a RACK 2, (minimum 1m zapasu w każdej szafie RACK).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115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4B3056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Pojazd zostanie wyposażony we wskaźnik wiatru pokazujący aktualną prędkość wiatru oraz dodatkowo wyposażony w alarm świetlny i</w:t>
            </w:r>
            <w:r w:rsidR="004B3056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>dźwiękowy po przekroczeniu 75% dopuszczalnej wartości siły wiatru określonej przez producenta dla zastosowanego masztu z obciążeniem maksymalnym. Zamawiający dopuszcza opcję, w której wskaźnik wiatru będzie zintegrowany z innym wyposażeniem zainstalowanym przez Wykonawcę pod warunkiem zachowania wymaganej funkcjonalności.</w:t>
            </w:r>
            <w:r w:rsidR="004B3056">
              <w:rPr>
                <w:rFonts w:cstheme="minorHAnsi"/>
                <w:sz w:val="24"/>
                <w:szCs w:val="24"/>
              </w:rPr>
              <w:t xml:space="preserve"> Alarm nie będzie aktywny w czasie jazdy.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0E3F93">
        <w:trPr>
          <w:trHeight w:val="272"/>
        </w:trPr>
        <w:tc>
          <w:tcPr>
            <w:tcW w:w="9209" w:type="dxa"/>
            <w:gridSpan w:val="3"/>
            <w:vAlign w:val="center"/>
          </w:tcPr>
          <w:p w:rsidR="005B0E02" w:rsidRPr="005A16CE" w:rsidRDefault="005B0E02" w:rsidP="005B0E02">
            <w:pPr>
              <w:pStyle w:val="Nagwek2"/>
              <w:numPr>
                <w:ilvl w:val="0"/>
                <w:numId w:val="0"/>
              </w:numPr>
              <w:spacing w:before="0" w:after="0" w:line="240" w:lineRule="auto"/>
              <w:jc w:val="center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Sekcja VI. Inne wymagania</w:t>
            </w:r>
          </w:p>
        </w:tc>
      </w:tr>
      <w:tr w:rsidR="005B0E02" w:rsidRPr="005A16CE" w:rsidTr="00313155">
        <w:trPr>
          <w:trHeight w:val="939"/>
        </w:trPr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5A16C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Lp.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pStyle w:val="Nagwek2"/>
              <w:spacing w:before="0" w:after="0" w:line="240" w:lineRule="auto"/>
              <w:ind w:left="0"/>
              <w:rPr>
                <w:rFonts w:asciiTheme="minorHAnsi" w:hAnsiTheme="minorHAnsi" w:cstheme="minorHAnsi"/>
                <w:i/>
                <w:iCs/>
                <w:szCs w:val="24"/>
              </w:rPr>
            </w:pPr>
            <w:r w:rsidRPr="005A16CE">
              <w:rPr>
                <w:rFonts w:asciiTheme="minorHAnsi" w:hAnsiTheme="minorHAnsi" w:cstheme="minorHAnsi"/>
                <w:iCs/>
                <w:szCs w:val="24"/>
              </w:rPr>
              <w:t xml:space="preserve">Minimalne parametry techniczne Stacji oraz funkcjonalne wymagane przez Zamawiającego.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pStyle w:val="Nagwek2"/>
              <w:spacing w:before="0" w:after="0" w:line="240" w:lineRule="auto"/>
              <w:ind w:left="0"/>
              <w:rPr>
                <w:rFonts w:asciiTheme="minorHAnsi" w:hAnsiTheme="minorHAnsi" w:cstheme="minorHAnsi"/>
                <w:iCs/>
                <w:szCs w:val="24"/>
              </w:rPr>
            </w:pPr>
            <w:r w:rsidRPr="00223B61">
              <w:rPr>
                <w:rFonts w:asciiTheme="minorHAnsi" w:hAnsiTheme="minorHAnsi" w:cstheme="minorHAnsi"/>
                <w:iCs/>
                <w:szCs w:val="22"/>
              </w:rPr>
              <w:t>Wykonawca potwierdza spełnienie wymagania słowem TAK</w:t>
            </w: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116.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Po dokonanej adaptacji pojazdu Wykonawca dostarczy dokumentację potwierdzającą dopuszczenie do ruchu na drogach Unii Europejskiej.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117.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iCs/>
                <w:sz w:val="24"/>
                <w:szCs w:val="24"/>
              </w:rPr>
            </w:pPr>
            <w:r w:rsidRPr="005A16CE">
              <w:rPr>
                <w:rFonts w:cstheme="minorHAnsi"/>
                <w:iCs/>
                <w:sz w:val="24"/>
                <w:szCs w:val="24"/>
              </w:rPr>
              <w:t>Wykonawca przekaże Zamawiającemu dokumentację powykonawczą Stacji zawierającą w szczególności:</w:t>
            </w:r>
          </w:p>
          <w:p w:rsidR="005B0E02" w:rsidRPr="005A16CE" w:rsidRDefault="005B0E02" w:rsidP="005B0E02">
            <w:pPr>
              <w:spacing w:line="240" w:lineRule="auto"/>
              <w:ind w:left="123" w:hanging="123"/>
              <w:rPr>
                <w:rFonts w:cstheme="minorHAnsi"/>
                <w:iCs/>
                <w:sz w:val="24"/>
                <w:szCs w:val="24"/>
              </w:rPr>
            </w:pPr>
            <w:r w:rsidRPr="005A16CE">
              <w:rPr>
                <w:rFonts w:cstheme="minorHAnsi"/>
                <w:iCs/>
                <w:sz w:val="24"/>
                <w:szCs w:val="24"/>
              </w:rPr>
              <w:t>- schematy blokowe i ideowe dodatkowych instalacji wewnętrznych Stacji wykonanych przez Wykonawcę wraz z opisem ideowym wyprowadzeń gniazd i wtyków;</w:t>
            </w:r>
          </w:p>
          <w:p w:rsidR="005B0E02" w:rsidRPr="005A16CE" w:rsidRDefault="005B0E02" w:rsidP="005B0E02">
            <w:pPr>
              <w:spacing w:line="240" w:lineRule="auto"/>
              <w:ind w:left="123" w:hanging="123"/>
              <w:rPr>
                <w:rFonts w:cstheme="minorHAnsi"/>
                <w:iCs/>
                <w:sz w:val="24"/>
                <w:szCs w:val="24"/>
              </w:rPr>
            </w:pPr>
            <w:r w:rsidRPr="005A16CE">
              <w:rPr>
                <w:rFonts w:cstheme="minorHAnsi"/>
                <w:iCs/>
                <w:sz w:val="24"/>
                <w:szCs w:val="24"/>
              </w:rPr>
              <w:t xml:space="preserve">- dane techniczne zastosowanych dodatkowych urządzeń i wyposażenia wraz z ich deklaracjami zgodności dla urządzeń tego wymagających </w:t>
            </w:r>
            <w:r w:rsidRPr="005A16CE">
              <w:rPr>
                <w:rFonts w:cstheme="minorHAnsi"/>
                <w:sz w:val="24"/>
                <w:szCs w:val="24"/>
              </w:rPr>
              <w:t>o ile istnieje obowiązek dołączania deklaracji do tych urządzeń</w:t>
            </w:r>
            <w:r w:rsidRPr="005A16CE">
              <w:rPr>
                <w:rFonts w:cstheme="minorHAnsi"/>
                <w:iCs/>
                <w:sz w:val="24"/>
                <w:szCs w:val="24"/>
              </w:rPr>
              <w:t>;</w:t>
            </w:r>
          </w:p>
          <w:p w:rsidR="005B0E02" w:rsidRPr="005A16CE" w:rsidRDefault="005B0E02" w:rsidP="005B0E02">
            <w:pPr>
              <w:spacing w:line="240" w:lineRule="auto"/>
              <w:ind w:left="123" w:hanging="123"/>
              <w:rPr>
                <w:rFonts w:cstheme="minorHAnsi"/>
                <w:iCs/>
                <w:sz w:val="24"/>
                <w:szCs w:val="24"/>
              </w:rPr>
            </w:pPr>
            <w:r w:rsidRPr="005A16CE">
              <w:rPr>
                <w:rFonts w:cstheme="minorHAnsi"/>
                <w:iCs/>
                <w:sz w:val="24"/>
                <w:szCs w:val="24"/>
              </w:rPr>
              <w:t>- szczegółową dokumentację techniczną wykonanego Stanowiska Obsługi Masztu;</w:t>
            </w:r>
          </w:p>
          <w:p w:rsidR="005B0E02" w:rsidRPr="005A16CE" w:rsidRDefault="005B0E02" w:rsidP="005B0E02">
            <w:pPr>
              <w:spacing w:line="240" w:lineRule="auto"/>
              <w:ind w:left="123" w:hanging="123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iCs/>
                <w:sz w:val="24"/>
                <w:szCs w:val="24"/>
              </w:rPr>
              <w:t>- instrukcje obsługi w języku polskim do wszelkich urządzeń niedostarczonych przez Zamawiającego, a zainstalowanych przez Wykonawcę.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iCs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118.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iCs/>
                <w:sz w:val="24"/>
                <w:szCs w:val="24"/>
              </w:rPr>
            </w:pPr>
            <w:r w:rsidRPr="005A16CE">
              <w:rPr>
                <w:rFonts w:cstheme="minorHAnsi"/>
                <w:iCs/>
                <w:sz w:val="24"/>
                <w:szCs w:val="24"/>
              </w:rPr>
              <w:t>Wykonawca oznaczy wszystkie końcówki kabli użytych w zabudowie opisem zawierającym docelowy „port” danego urządzenia.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iCs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119.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W przypadku zastosowania urządzenia programowalnego niedostarczonego przez Zamawiającego, a zainstalowanego przez Wykonawcę, Wykonawca dostarczy pliki z oprogramowaniem lub karty programowania urządzeń oraz informacje dotyczące konfiguracji urządzeń.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120.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A16CE">
              <w:rPr>
                <w:rFonts w:cstheme="minorHAnsi"/>
                <w:color w:val="000000"/>
                <w:sz w:val="24"/>
                <w:szCs w:val="24"/>
              </w:rPr>
              <w:t>Wykonawca opracuje i przekaże Zamawiającemu instrukcję obsługi Stacji w języku polskim.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5A16CE">
              <w:rPr>
                <w:rFonts w:cstheme="minorHAnsi"/>
                <w:bCs/>
                <w:sz w:val="24"/>
                <w:szCs w:val="24"/>
              </w:rPr>
              <w:lastRenderedPageBreak/>
              <w:t>121.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pStyle w:val="scfbrieftext"/>
              <w:spacing w:after="0"/>
              <w:rPr>
                <w:rFonts w:asciiTheme="minorHAnsi" w:hAnsiTheme="minorHAnsi" w:cstheme="minorHAnsi"/>
                <w:iCs w:val="0"/>
                <w:sz w:val="24"/>
                <w:szCs w:val="24"/>
                <w:lang w:val="pl-PL" w:eastAsia="pl-PL"/>
              </w:rPr>
            </w:pPr>
            <w:r w:rsidRPr="005A16CE">
              <w:rPr>
                <w:rFonts w:asciiTheme="minorHAnsi" w:hAnsiTheme="minorHAnsi" w:cstheme="minorHAnsi"/>
                <w:iCs w:val="0"/>
                <w:sz w:val="24"/>
                <w:szCs w:val="24"/>
                <w:lang w:val="pl-PL" w:eastAsia="pl-PL"/>
              </w:rPr>
              <w:t>Wykonawca zakupi i zainstaluje wszystkie materiały i osprzęt konieczny do wykonania zabudowy opisanej w pkt. od 1 do 115, który nie został wyspecyfikowany powyżej w ramach zaoferowanej ceny.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pStyle w:val="scfbrieftext"/>
              <w:spacing w:after="0"/>
              <w:rPr>
                <w:rFonts w:asciiTheme="minorHAnsi" w:hAnsiTheme="minorHAnsi" w:cstheme="minorHAnsi"/>
                <w:iCs w:val="0"/>
                <w:sz w:val="24"/>
                <w:szCs w:val="24"/>
                <w:lang w:val="pl-PL" w:eastAsia="pl-PL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5A16CE">
              <w:rPr>
                <w:rFonts w:cstheme="minorHAnsi"/>
                <w:bCs/>
                <w:sz w:val="24"/>
                <w:szCs w:val="24"/>
              </w:rPr>
              <w:t>122.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pStyle w:val="scfbrieftext"/>
              <w:spacing w:after="0"/>
              <w:rPr>
                <w:rFonts w:asciiTheme="minorHAnsi" w:hAnsiTheme="minorHAnsi" w:cstheme="minorHAnsi"/>
                <w:iCs w:val="0"/>
                <w:sz w:val="24"/>
                <w:szCs w:val="24"/>
                <w:lang w:val="pl-PL" w:eastAsia="pl-PL"/>
              </w:rPr>
            </w:pPr>
            <w:r w:rsidRPr="005A16CE">
              <w:rPr>
                <w:rFonts w:asciiTheme="minorHAnsi" w:hAnsiTheme="minorHAnsi" w:cstheme="minorHAnsi"/>
                <w:iCs w:val="0"/>
                <w:sz w:val="24"/>
                <w:szCs w:val="24"/>
                <w:lang w:val="pl-PL" w:eastAsia="pl-PL"/>
              </w:rPr>
              <w:t xml:space="preserve">Wszelkie instalowane przez Wykonawcę w ramach zabudowy urządzenia, wobec których istnieje obowiązek oznakowania oznakowaniem CE, będę posiadały przedmiotowe oznakowanie.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pStyle w:val="scfbrieftext"/>
              <w:spacing w:after="0"/>
              <w:rPr>
                <w:rFonts w:asciiTheme="minorHAnsi" w:hAnsiTheme="minorHAnsi" w:cstheme="minorHAnsi"/>
                <w:iCs w:val="0"/>
                <w:sz w:val="24"/>
                <w:szCs w:val="24"/>
                <w:lang w:val="pl-PL" w:eastAsia="pl-PL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5A16CE">
              <w:rPr>
                <w:rFonts w:cstheme="minorHAnsi"/>
                <w:bCs/>
                <w:sz w:val="24"/>
                <w:szCs w:val="24"/>
              </w:rPr>
              <w:t>123.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A16CE">
              <w:rPr>
                <w:rFonts w:cstheme="minorHAnsi"/>
                <w:color w:val="000000"/>
                <w:sz w:val="24"/>
                <w:szCs w:val="24"/>
              </w:rPr>
              <w:t xml:space="preserve">Stacja musi posiadać gwarancję: </w:t>
            </w:r>
          </w:p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5A16CE">
              <w:rPr>
                <w:rFonts w:cstheme="minorHAnsi"/>
                <w:sz w:val="24"/>
                <w:szCs w:val="24"/>
              </w:rPr>
              <w:t xml:space="preserve">na część mechaniczną pojazdu - </w:t>
            </w:r>
            <w:r w:rsidRPr="005A16CE">
              <w:rPr>
                <w:rFonts w:cstheme="minorHAnsi"/>
                <w:color w:val="000000"/>
                <w:sz w:val="24"/>
                <w:szCs w:val="24"/>
              </w:rPr>
              <w:t>minimum na okres</w:t>
            </w:r>
            <w:r w:rsidRPr="005A16CE">
              <w:rPr>
                <w:rFonts w:cstheme="minorHAnsi"/>
                <w:sz w:val="24"/>
                <w:szCs w:val="24"/>
              </w:rPr>
              <w:t xml:space="preserve"> 24 miesięcy bez limitu kilometrów; </w:t>
            </w:r>
          </w:p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- na perforację nadwozia - </w:t>
            </w:r>
            <w:r w:rsidRPr="005A16CE">
              <w:rPr>
                <w:rFonts w:cstheme="minorHAnsi"/>
                <w:color w:val="000000"/>
                <w:sz w:val="24"/>
                <w:szCs w:val="24"/>
              </w:rPr>
              <w:t>minimum na okres</w:t>
            </w:r>
            <w:r w:rsidRPr="005A16CE">
              <w:rPr>
                <w:rFonts w:cstheme="minorHAnsi"/>
                <w:sz w:val="24"/>
                <w:szCs w:val="24"/>
              </w:rPr>
              <w:t xml:space="preserve"> 60 miesięcy bez limitu kilometrów; </w:t>
            </w:r>
          </w:p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 xml:space="preserve">- na powłokę lakierniczą - </w:t>
            </w:r>
            <w:r w:rsidRPr="005A16CE">
              <w:rPr>
                <w:rFonts w:cstheme="minorHAnsi"/>
                <w:color w:val="000000"/>
                <w:sz w:val="24"/>
                <w:szCs w:val="24"/>
              </w:rPr>
              <w:t>minimum na okres</w:t>
            </w:r>
            <w:r w:rsidRPr="005A16CE">
              <w:rPr>
                <w:rFonts w:cstheme="minorHAnsi"/>
                <w:sz w:val="24"/>
                <w:szCs w:val="24"/>
              </w:rPr>
              <w:t xml:space="preserve"> 60 miesięcy bez limitu kilometrów; </w:t>
            </w:r>
          </w:p>
          <w:p w:rsidR="005B0E02" w:rsidRPr="005A16CE" w:rsidRDefault="005B0E02" w:rsidP="005B0E02">
            <w:pPr>
              <w:spacing w:line="240" w:lineRule="auto"/>
              <w:ind w:left="127" w:hanging="127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- na elementy konstrukcji zamontowane wewnątrz Stacji stanowiące jej zabudowę - m</w:t>
            </w:r>
            <w:r w:rsidRPr="005A16CE">
              <w:rPr>
                <w:rFonts w:cstheme="minorHAnsi"/>
                <w:color w:val="000000"/>
                <w:sz w:val="24"/>
                <w:szCs w:val="24"/>
              </w:rPr>
              <w:t>inimum na okres</w:t>
            </w:r>
            <w:r w:rsidRPr="005A16CE">
              <w:rPr>
                <w:rFonts w:cstheme="minorHAnsi"/>
                <w:sz w:val="24"/>
                <w:szCs w:val="24"/>
              </w:rPr>
              <w:t xml:space="preserve"> 24 miesięcy; </w:t>
            </w:r>
          </w:p>
          <w:p w:rsidR="005B0E02" w:rsidRPr="005A16CE" w:rsidRDefault="005B0E02" w:rsidP="005B0E02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- na nowe niedostarczone przez Zamawiającego urządzenia wchodzące w</w:t>
            </w:r>
            <w:r w:rsidR="00BB6FAA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 xml:space="preserve">skład </w:t>
            </w:r>
          </w:p>
          <w:p w:rsidR="005B0E02" w:rsidRPr="005A16CE" w:rsidRDefault="005B0E02" w:rsidP="00BB6FAA">
            <w:pPr>
              <w:spacing w:line="240" w:lineRule="auto"/>
              <w:ind w:left="62" w:hanging="2"/>
              <w:rPr>
                <w:rFonts w:cstheme="minorHAnsi"/>
                <w:color w:val="000000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systemu zasilania, systemu antenowego, systemu kontrolno-pomiarowego, systemu łączności oraz zespołu określania lokalizacji i</w:t>
            </w:r>
            <w:r w:rsidR="00BB6FAA">
              <w:rPr>
                <w:rFonts w:cstheme="minorHAnsi"/>
                <w:sz w:val="24"/>
                <w:szCs w:val="24"/>
              </w:rPr>
              <w:t> </w:t>
            </w:r>
            <w:r w:rsidRPr="005A16CE">
              <w:rPr>
                <w:rFonts w:cstheme="minorHAnsi"/>
                <w:sz w:val="24"/>
                <w:szCs w:val="24"/>
              </w:rPr>
              <w:t xml:space="preserve">orientacji geograficznej Stacji - </w:t>
            </w:r>
            <w:r w:rsidRPr="005A16CE">
              <w:rPr>
                <w:rFonts w:cstheme="minorHAnsi"/>
                <w:color w:val="000000"/>
                <w:sz w:val="24"/>
                <w:szCs w:val="24"/>
              </w:rPr>
              <w:t>minimum na okres</w:t>
            </w:r>
            <w:r w:rsidRPr="005A16CE">
              <w:rPr>
                <w:rFonts w:cstheme="minorHAnsi"/>
                <w:sz w:val="24"/>
                <w:szCs w:val="24"/>
              </w:rPr>
              <w:t xml:space="preserve"> 24 miesięcy.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spacing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124.</w:t>
            </w:r>
          </w:p>
        </w:tc>
        <w:tc>
          <w:tcPr>
            <w:tcW w:w="7513" w:type="dxa"/>
          </w:tcPr>
          <w:p w:rsidR="005B0E02" w:rsidRPr="005A16CE" w:rsidRDefault="005B0E02" w:rsidP="005B0E02">
            <w:pPr>
              <w:overflowPunct w:val="0"/>
              <w:spacing w:line="240" w:lineRule="auto"/>
              <w:ind w:left="115" w:firstLine="1"/>
              <w:textAlignment w:val="baseline"/>
              <w:rPr>
                <w:rFonts w:cstheme="minorHAnsi"/>
                <w:iCs/>
                <w:sz w:val="24"/>
                <w:szCs w:val="24"/>
              </w:rPr>
            </w:pPr>
            <w:r w:rsidRPr="005A16CE">
              <w:rPr>
                <w:rFonts w:cstheme="minorHAnsi"/>
                <w:iCs/>
                <w:sz w:val="24"/>
                <w:szCs w:val="24"/>
              </w:rPr>
              <w:t>Wykonawca zapewni płatny serwis pogwarancyjny na zabudowę przez okres 7 lat od daty przekazania do użytkowania.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overflowPunct w:val="0"/>
              <w:spacing w:line="240" w:lineRule="auto"/>
              <w:ind w:left="115" w:firstLine="1"/>
              <w:textAlignment w:val="baseline"/>
              <w:rPr>
                <w:rFonts w:cstheme="minorHAnsi"/>
                <w:iCs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125.</w:t>
            </w:r>
          </w:p>
        </w:tc>
        <w:tc>
          <w:tcPr>
            <w:tcW w:w="7513" w:type="dxa"/>
          </w:tcPr>
          <w:p w:rsidR="005B0E02" w:rsidRPr="005A16CE" w:rsidRDefault="005B0E02" w:rsidP="005B0E02">
            <w:pPr>
              <w:overflowPunct w:val="0"/>
              <w:spacing w:line="240" w:lineRule="auto"/>
              <w:ind w:left="115" w:firstLine="1"/>
              <w:textAlignment w:val="baseline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iCs/>
                <w:sz w:val="24"/>
                <w:szCs w:val="24"/>
              </w:rPr>
              <w:t xml:space="preserve">Naprawy gwarancyjne i pogwarancyjne dotyczące fabrycznego wyposażenia samochodu będą realizowane w serwisach na terenie całego kraju.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overflowPunct w:val="0"/>
              <w:spacing w:line="240" w:lineRule="auto"/>
              <w:ind w:left="115" w:firstLine="1"/>
              <w:textAlignment w:val="baseline"/>
              <w:rPr>
                <w:rFonts w:cstheme="minorHAnsi"/>
                <w:iCs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126.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BB6FAA">
            <w:pPr>
              <w:tabs>
                <w:tab w:val="num" w:pos="-16"/>
              </w:tabs>
              <w:overflowPunct w:val="0"/>
              <w:spacing w:line="240" w:lineRule="auto"/>
              <w:ind w:left="115" w:firstLine="1"/>
              <w:textAlignment w:val="baseline"/>
              <w:rPr>
                <w:rFonts w:cstheme="minorHAnsi"/>
                <w:b/>
                <w:sz w:val="24"/>
                <w:szCs w:val="24"/>
              </w:rPr>
            </w:pPr>
            <w:r w:rsidRPr="005A16CE">
              <w:rPr>
                <w:rFonts w:cstheme="minorHAnsi"/>
                <w:iCs/>
                <w:sz w:val="24"/>
                <w:szCs w:val="24"/>
              </w:rPr>
              <w:t>Diagnozy usterek zabudowy objętych gwarancją będą realizowane w</w:t>
            </w:r>
            <w:r w:rsidR="00BB6FAA">
              <w:rPr>
                <w:rFonts w:cstheme="minorHAnsi"/>
                <w:iCs/>
                <w:sz w:val="24"/>
                <w:szCs w:val="24"/>
              </w:rPr>
              <w:t> </w:t>
            </w:r>
            <w:r w:rsidRPr="005A16CE">
              <w:rPr>
                <w:rFonts w:cstheme="minorHAnsi"/>
                <w:iCs/>
                <w:sz w:val="24"/>
                <w:szCs w:val="24"/>
              </w:rPr>
              <w:t>miejscu użytkowania poszczególnych Stacji w czasie nie dłuższym niż 7 dni roboczych, liczonych od dnia zgłoszenia</w:t>
            </w:r>
            <w:r w:rsidRPr="005A16CE">
              <w:rPr>
                <w:rFonts w:cstheme="minorHAnsi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tabs>
                <w:tab w:val="num" w:pos="-16"/>
              </w:tabs>
              <w:overflowPunct w:val="0"/>
              <w:spacing w:line="240" w:lineRule="auto"/>
              <w:ind w:left="115" w:firstLine="1"/>
              <w:textAlignment w:val="baseline"/>
              <w:rPr>
                <w:rFonts w:cstheme="minorHAnsi"/>
                <w:iCs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127.</w:t>
            </w:r>
          </w:p>
        </w:tc>
        <w:tc>
          <w:tcPr>
            <w:tcW w:w="7513" w:type="dxa"/>
            <w:vAlign w:val="center"/>
          </w:tcPr>
          <w:p w:rsidR="005B0E02" w:rsidRPr="005A16CE" w:rsidRDefault="005B0E02" w:rsidP="005B0E02">
            <w:pPr>
              <w:tabs>
                <w:tab w:val="num" w:pos="-16"/>
              </w:tabs>
              <w:overflowPunct w:val="0"/>
              <w:spacing w:line="240" w:lineRule="auto"/>
              <w:ind w:left="115" w:firstLine="1"/>
              <w:textAlignment w:val="baseline"/>
              <w:rPr>
                <w:rFonts w:cstheme="minorHAnsi"/>
                <w:b/>
                <w:sz w:val="24"/>
                <w:szCs w:val="24"/>
              </w:rPr>
            </w:pPr>
            <w:r w:rsidRPr="005A16CE">
              <w:rPr>
                <w:rFonts w:cstheme="minorHAnsi"/>
                <w:iCs/>
                <w:sz w:val="24"/>
                <w:szCs w:val="24"/>
              </w:rPr>
              <w:t>Naprawy gwarancyjne dotyczące zabudowanego wyposażenia samochodu (agregat, maszt, rotator itp.) będą realizowane w serwisach na terenie Polski wskazanych przez Wykonawcę po uzgodnieniach nietrwających dłużej niż 7 (siedem) dni roboczych z Zamawiającym.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tabs>
                <w:tab w:val="num" w:pos="-16"/>
              </w:tabs>
              <w:overflowPunct w:val="0"/>
              <w:spacing w:line="240" w:lineRule="auto"/>
              <w:ind w:left="115" w:firstLine="1"/>
              <w:textAlignment w:val="baseline"/>
              <w:rPr>
                <w:rFonts w:cstheme="minorHAnsi"/>
                <w:iCs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128.</w:t>
            </w:r>
          </w:p>
        </w:tc>
        <w:tc>
          <w:tcPr>
            <w:tcW w:w="7513" w:type="dxa"/>
          </w:tcPr>
          <w:p w:rsidR="005B0E02" w:rsidRPr="005A16CE" w:rsidRDefault="005B0E02" w:rsidP="005B0E02">
            <w:pPr>
              <w:tabs>
                <w:tab w:val="num" w:pos="-16"/>
              </w:tabs>
              <w:overflowPunct w:val="0"/>
              <w:spacing w:line="240" w:lineRule="auto"/>
              <w:ind w:left="115" w:firstLine="1"/>
              <w:textAlignment w:val="baseline"/>
              <w:rPr>
                <w:rFonts w:cstheme="minorHAnsi"/>
                <w:iCs/>
                <w:sz w:val="24"/>
                <w:szCs w:val="24"/>
              </w:rPr>
            </w:pPr>
            <w:r w:rsidRPr="005A16CE">
              <w:rPr>
                <w:rFonts w:cstheme="minorHAnsi"/>
                <w:iCs/>
                <w:sz w:val="24"/>
                <w:szCs w:val="24"/>
              </w:rPr>
              <w:t xml:space="preserve">Naprawy pogwarancyjne dotyczące zabudowanego dodatkowego wyposażenia samochodu będą realizowane w serwisach na terenie Polski wskazanych przez Wykonawcę po uzgodnieniach nietrwających dłużej niż 7 (siedem) dni roboczych </w:t>
            </w:r>
          </w:p>
          <w:p w:rsidR="005B0E02" w:rsidRPr="005A16CE" w:rsidRDefault="005B0E02" w:rsidP="005B0E02">
            <w:pPr>
              <w:tabs>
                <w:tab w:val="num" w:pos="-16"/>
              </w:tabs>
              <w:overflowPunct w:val="0"/>
              <w:spacing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iCs/>
                <w:sz w:val="24"/>
                <w:szCs w:val="24"/>
              </w:rPr>
              <w:t>z Zamawiającym.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tabs>
                <w:tab w:val="num" w:pos="-16"/>
              </w:tabs>
              <w:overflowPunct w:val="0"/>
              <w:spacing w:line="240" w:lineRule="auto"/>
              <w:ind w:left="115" w:firstLine="1"/>
              <w:textAlignment w:val="baseline"/>
              <w:rPr>
                <w:rFonts w:cstheme="minorHAnsi"/>
                <w:iCs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129.</w:t>
            </w:r>
          </w:p>
        </w:tc>
        <w:tc>
          <w:tcPr>
            <w:tcW w:w="7513" w:type="dxa"/>
          </w:tcPr>
          <w:p w:rsidR="005B0E02" w:rsidRPr="005A16CE" w:rsidRDefault="005B0E02" w:rsidP="005B0E02">
            <w:pPr>
              <w:tabs>
                <w:tab w:val="num" w:pos="-16"/>
              </w:tabs>
              <w:overflowPunct w:val="0"/>
              <w:spacing w:line="240" w:lineRule="auto"/>
              <w:textAlignment w:val="baseline"/>
              <w:rPr>
                <w:rFonts w:cstheme="minorHAnsi"/>
                <w:iCs/>
                <w:sz w:val="24"/>
                <w:szCs w:val="24"/>
              </w:rPr>
            </w:pPr>
            <w:r w:rsidRPr="005A16CE">
              <w:rPr>
                <w:rFonts w:cstheme="minorHAnsi"/>
                <w:iCs/>
                <w:sz w:val="24"/>
                <w:szCs w:val="24"/>
              </w:rPr>
              <w:t>Wykonawca przedstawi szczegółowy projekt zabudowy Stacji Zamawiającemu do akceptacji.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tabs>
                <w:tab w:val="num" w:pos="-16"/>
              </w:tabs>
              <w:overflowPunct w:val="0"/>
              <w:spacing w:line="240" w:lineRule="auto"/>
              <w:textAlignment w:val="baseline"/>
              <w:rPr>
                <w:rFonts w:cstheme="minorHAnsi"/>
                <w:iCs/>
                <w:sz w:val="24"/>
                <w:szCs w:val="24"/>
              </w:rPr>
            </w:pPr>
          </w:p>
        </w:tc>
      </w:tr>
      <w:tr w:rsidR="005B0E02" w:rsidRPr="005A16CE" w:rsidTr="00313155">
        <w:tc>
          <w:tcPr>
            <w:tcW w:w="279" w:type="dxa"/>
            <w:vAlign w:val="center"/>
          </w:tcPr>
          <w:p w:rsidR="005B0E02" w:rsidRPr="005A16CE" w:rsidRDefault="005B0E02" w:rsidP="005B0E02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5A16CE">
              <w:rPr>
                <w:rFonts w:cstheme="minorHAnsi"/>
                <w:sz w:val="24"/>
                <w:szCs w:val="24"/>
              </w:rPr>
              <w:t>130.</w:t>
            </w:r>
          </w:p>
        </w:tc>
        <w:tc>
          <w:tcPr>
            <w:tcW w:w="7513" w:type="dxa"/>
          </w:tcPr>
          <w:p w:rsidR="005B0E02" w:rsidRPr="005A16CE" w:rsidRDefault="005B0E02" w:rsidP="00BB6FAA">
            <w:pPr>
              <w:tabs>
                <w:tab w:val="num" w:pos="-16"/>
              </w:tabs>
              <w:overflowPunct w:val="0"/>
              <w:spacing w:line="240" w:lineRule="auto"/>
              <w:ind w:left="115" w:firstLine="1"/>
              <w:textAlignment w:val="baseline"/>
              <w:rPr>
                <w:rFonts w:cstheme="minorHAnsi"/>
                <w:iCs/>
                <w:sz w:val="24"/>
                <w:szCs w:val="24"/>
              </w:rPr>
            </w:pPr>
            <w:r w:rsidRPr="005A16CE">
              <w:rPr>
                <w:rFonts w:cstheme="minorHAnsi"/>
                <w:iCs/>
                <w:sz w:val="24"/>
                <w:szCs w:val="24"/>
              </w:rPr>
              <w:t>Wszelkie kwestie sporne powstałe pomiędzy Zamawiającym a</w:t>
            </w:r>
            <w:r w:rsidR="00BB6FAA">
              <w:rPr>
                <w:rFonts w:cstheme="minorHAnsi"/>
                <w:iCs/>
                <w:sz w:val="24"/>
                <w:szCs w:val="24"/>
              </w:rPr>
              <w:t> </w:t>
            </w:r>
            <w:r w:rsidRPr="005A16CE">
              <w:rPr>
                <w:rFonts w:cstheme="minorHAnsi"/>
                <w:iCs/>
                <w:sz w:val="24"/>
                <w:szCs w:val="24"/>
              </w:rPr>
              <w:t>Wykonawcą po dostarczeniu pojazdów Zamawiającemu, a dotyczące wadliwej lub uszkodzonej w trakcie użytkowania dodatkowej zabudowy regulować będzie Kodeks Postępowania Cywilnego na drodze sądowej.</w:t>
            </w:r>
          </w:p>
        </w:tc>
        <w:tc>
          <w:tcPr>
            <w:tcW w:w="1417" w:type="dxa"/>
          </w:tcPr>
          <w:p w:rsidR="005B0E02" w:rsidRPr="005A16CE" w:rsidRDefault="005B0E02" w:rsidP="005B0E02">
            <w:pPr>
              <w:tabs>
                <w:tab w:val="num" w:pos="-16"/>
              </w:tabs>
              <w:overflowPunct w:val="0"/>
              <w:spacing w:line="240" w:lineRule="auto"/>
              <w:ind w:left="115" w:firstLine="1"/>
              <w:textAlignment w:val="baseline"/>
              <w:rPr>
                <w:rFonts w:cstheme="minorHAnsi"/>
                <w:iCs/>
                <w:sz w:val="24"/>
                <w:szCs w:val="24"/>
              </w:rPr>
            </w:pPr>
          </w:p>
        </w:tc>
      </w:tr>
    </w:tbl>
    <w:p w:rsidR="006B7E6A" w:rsidRPr="005A16CE" w:rsidRDefault="006B7E6A" w:rsidP="006B7E6A">
      <w:pPr>
        <w:spacing w:after="160" w:line="259" w:lineRule="auto"/>
        <w:ind w:left="0" w:firstLine="0"/>
        <w:jc w:val="left"/>
        <w:rPr>
          <w:rFonts w:cstheme="minorHAnsi"/>
          <w:sz w:val="24"/>
          <w:szCs w:val="24"/>
        </w:rPr>
      </w:pPr>
    </w:p>
    <w:p w:rsidR="005F3DD7" w:rsidRPr="005A16CE" w:rsidRDefault="005F3DD7">
      <w:pPr>
        <w:rPr>
          <w:rFonts w:cstheme="minorHAnsi"/>
          <w:sz w:val="24"/>
          <w:szCs w:val="24"/>
        </w:rPr>
      </w:pPr>
    </w:p>
    <w:sectPr w:rsidR="005F3DD7" w:rsidRPr="005A16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DC02DA10"/>
    <w:lvl w:ilvl="0">
      <w:start w:val="1"/>
      <w:numFmt w:val="none"/>
      <w:pStyle w:val="Nagwek1"/>
      <w:lvlText w:val="%1"/>
      <w:lvlJc w:val="center"/>
      <w:pPr>
        <w:tabs>
          <w:tab w:val="num" w:pos="360"/>
        </w:tabs>
        <w:ind w:left="0" w:firstLine="0"/>
      </w:pPr>
    </w:lvl>
    <w:lvl w:ilvl="1">
      <w:start w:val="1"/>
      <w:numFmt w:val="bullet"/>
      <w:pStyle w:val="Nagwek2"/>
      <w:lvlText w:val=""/>
      <w:lvlJc w:val="left"/>
      <w:pPr>
        <w:tabs>
          <w:tab w:val="num" w:pos="480"/>
        </w:tabs>
        <w:ind w:left="480" w:hanging="480"/>
      </w:pPr>
      <w:rPr>
        <w:rFonts w:ascii="Symbol" w:hAnsi="Symbol" w:hint="default"/>
      </w:rPr>
    </w:lvl>
    <w:lvl w:ilvl="2">
      <w:start w:val="1"/>
      <w:numFmt w:val="upperRoman"/>
      <w:lvlText w:val="%1%3."/>
      <w:lvlJc w:val="left"/>
      <w:pPr>
        <w:tabs>
          <w:tab w:val="num" w:pos="720"/>
        </w:tabs>
        <w:ind w:left="720" w:hanging="720"/>
      </w:pPr>
      <w:rPr>
        <w:b w:val="0"/>
        <w:i w:val="0"/>
      </w:rPr>
    </w:lvl>
    <w:lvl w:ilvl="3">
      <w:start w:val="1"/>
      <w:numFmt w:val="decimal"/>
      <w:pStyle w:val="Nagwek4"/>
      <w:lvlText w:val="%1%4."/>
      <w:lvlJc w:val="left"/>
      <w:pPr>
        <w:tabs>
          <w:tab w:val="num" w:pos="644"/>
        </w:tabs>
        <w:ind w:left="567" w:hanging="283"/>
      </w:pPr>
    </w:lvl>
    <w:lvl w:ilvl="4">
      <w:start w:val="1"/>
      <w:numFmt w:val="decimal"/>
      <w:lvlText w:val="%5)"/>
      <w:lvlJc w:val="left"/>
      <w:pPr>
        <w:tabs>
          <w:tab w:val="num" w:pos="1069"/>
        </w:tabs>
        <w:ind w:left="709" w:firstLine="0"/>
      </w:pPr>
      <w:rPr>
        <w:rFonts w:ascii="Arial" w:eastAsia="Times New Roman" w:hAnsi="Arial" w:cs="Arial"/>
      </w:rPr>
    </w:lvl>
    <w:lvl w:ilvl="5">
      <w:start w:val="1"/>
      <w:numFmt w:val="bullet"/>
      <w:pStyle w:val="Nagwek6"/>
      <w:lvlText w:val=""/>
      <w:lvlJc w:val="left"/>
      <w:pPr>
        <w:tabs>
          <w:tab w:val="num" w:pos="1664"/>
        </w:tabs>
        <w:ind w:left="1304" w:firstLine="0"/>
      </w:pPr>
      <w:rPr>
        <w:rFonts w:ascii="Symbol" w:hAnsi="Symbol"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1" w15:restartNumberingAfterBreak="0">
    <w:nsid w:val="1C11617F"/>
    <w:multiLevelType w:val="hybridMultilevel"/>
    <w:tmpl w:val="250E0FC0"/>
    <w:lvl w:ilvl="0" w:tplc="30AC8F18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F072A4"/>
    <w:multiLevelType w:val="hybridMultilevel"/>
    <w:tmpl w:val="9D9840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9203F2"/>
    <w:multiLevelType w:val="hybridMultilevel"/>
    <w:tmpl w:val="73168874"/>
    <w:lvl w:ilvl="0" w:tplc="EA9AA420"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Times New Roman" w:eastAsia="Times New Roman" w:hAnsi="Times New Roman" w:cs="Times New Roman" w:hint="default"/>
      </w:rPr>
    </w:lvl>
    <w:lvl w:ilvl="1" w:tplc="761EFE6E">
      <w:start w:val="1"/>
      <w:numFmt w:val="decimal"/>
      <w:lvlText w:val="%2)"/>
      <w:lvlJc w:val="left"/>
      <w:pPr>
        <w:tabs>
          <w:tab w:val="num" w:pos="567"/>
        </w:tabs>
        <w:ind w:left="567" w:hanging="397"/>
      </w:pPr>
      <w:rPr>
        <w:rFonts w:hint="default"/>
        <w:b w:val="0"/>
        <w:i w:val="0"/>
      </w:rPr>
    </w:lvl>
    <w:lvl w:ilvl="2" w:tplc="BE1E06B0">
      <w:start w:val="8"/>
      <w:numFmt w:val="decimal"/>
      <w:lvlText w:val="%3"/>
      <w:lvlJc w:val="left"/>
      <w:pPr>
        <w:tabs>
          <w:tab w:val="num" w:pos="2727"/>
        </w:tabs>
        <w:ind w:left="2727" w:hanging="360"/>
      </w:pPr>
      <w:rPr>
        <w:rFonts w:hint="default"/>
      </w:rPr>
    </w:lvl>
    <w:lvl w:ilvl="3" w:tplc="F286BAAE">
      <w:start w:val="1"/>
      <w:numFmt w:val="lowerLetter"/>
      <w:lvlText w:val="%4)"/>
      <w:lvlJc w:val="left"/>
      <w:pPr>
        <w:tabs>
          <w:tab w:val="num" w:pos="3447"/>
        </w:tabs>
        <w:ind w:left="3447" w:hanging="360"/>
      </w:pPr>
      <w:rPr>
        <w:rFonts w:hint="default"/>
      </w:rPr>
    </w:lvl>
    <w:lvl w:ilvl="4" w:tplc="3E140064">
      <w:start w:val="1"/>
      <w:numFmt w:val="decimal"/>
      <w:lvlText w:val="%5."/>
      <w:lvlJc w:val="left"/>
      <w:pPr>
        <w:tabs>
          <w:tab w:val="num" w:pos="4167"/>
        </w:tabs>
        <w:ind w:left="4167" w:hanging="360"/>
      </w:pPr>
      <w:rPr>
        <w:rFonts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58AF0D23"/>
    <w:multiLevelType w:val="hybridMultilevel"/>
    <w:tmpl w:val="2FA2A8BA"/>
    <w:lvl w:ilvl="0" w:tplc="30AC8F18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8D3D66"/>
    <w:multiLevelType w:val="hybridMultilevel"/>
    <w:tmpl w:val="4308EE92"/>
    <w:lvl w:ilvl="0" w:tplc="30AC8F18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F84A20"/>
    <w:multiLevelType w:val="hybridMultilevel"/>
    <w:tmpl w:val="E460E264"/>
    <w:lvl w:ilvl="0" w:tplc="30AC8F18">
      <w:start w:val="1"/>
      <w:numFmt w:val="bullet"/>
      <w:lvlText w:val="­"/>
      <w:lvlJc w:val="left"/>
      <w:pPr>
        <w:ind w:left="773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4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E6A"/>
    <w:rsid w:val="000E3F93"/>
    <w:rsid w:val="00271A7C"/>
    <w:rsid w:val="002D4E63"/>
    <w:rsid w:val="00313155"/>
    <w:rsid w:val="004A1D7D"/>
    <w:rsid w:val="004B3056"/>
    <w:rsid w:val="005A16CE"/>
    <w:rsid w:val="005B0E02"/>
    <w:rsid w:val="005F3DD7"/>
    <w:rsid w:val="006B7E6A"/>
    <w:rsid w:val="00915E44"/>
    <w:rsid w:val="00980E8E"/>
    <w:rsid w:val="00A52D45"/>
    <w:rsid w:val="00AF77BE"/>
    <w:rsid w:val="00BB6FAA"/>
    <w:rsid w:val="00E6220C"/>
    <w:rsid w:val="00F9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DAFC8"/>
  <w15:chartTrackingRefBased/>
  <w15:docId w15:val="{6436D668-7742-434D-BFD0-2B18712A7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B7E6A"/>
    <w:pPr>
      <w:spacing w:after="0" w:line="276" w:lineRule="auto"/>
      <w:ind w:left="425" w:hanging="425"/>
      <w:jc w:val="both"/>
    </w:pPr>
  </w:style>
  <w:style w:type="paragraph" w:styleId="Nagwek1">
    <w:name w:val="heading 1"/>
    <w:aliases w:val="nagłówek1,opis,section:1"/>
    <w:basedOn w:val="Normalny"/>
    <w:next w:val="Normalny"/>
    <w:link w:val="Nagwek1Znak"/>
    <w:uiPriority w:val="1"/>
    <w:qFormat/>
    <w:rsid w:val="006B7E6A"/>
    <w:pPr>
      <w:keepNext/>
      <w:numPr>
        <w:numId w:val="1"/>
      </w:numPr>
      <w:tabs>
        <w:tab w:val="left" w:pos="709"/>
      </w:tabs>
      <w:suppressAutoHyphens/>
      <w:spacing w:before="120" w:after="240" w:line="240" w:lineRule="auto"/>
      <w:outlineLvl w:val="0"/>
    </w:pPr>
    <w:rPr>
      <w:rFonts w:ascii="Times New Roman" w:eastAsia="Times New Roman" w:hAnsi="Times New Roman" w:cs="Arial Unicode MS"/>
      <w:b/>
      <w:sz w:val="28"/>
      <w:szCs w:val="20"/>
      <w:lang w:eastAsia="ar-SA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9"/>
    <w:qFormat/>
    <w:rsid w:val="006B7E6A"/>
    <w:pPr>
      <w:widowControl w:val="0"/>
      <w:numPr>
        <w:ilvl w:val="1"/>
        <w:numId w:val="1"/>
      </w:numPr>
      <w:suppressAutoHyphens/>
      <w:spacing w:before="120" w:after="240" w:line="360" w:lineRule="auto"/>
      <w:outlineLvl w:val="1"/>
    </w:pPr>
    <w:rPr>
      <w:rFonts w:ascii="Times New Roman" w:eastAsia="Times New Roman" w:hAnsi="Times New Roman" w:cs="Arial Unicode MS"/>
      <w:b/>
      <w:sz w:val="24"/>
      <w:szCs w:val="20"/>
      <w:lang w:eastAsia="ar-SA"/>
    </w:rPr>
  </w:style>
  <w:style w:type="paragraph" w:styleId="Nagwek4">
    <w:name w:val="heading 4"/>
    <w:aliases w:val="Nagłówek 4 Znak Znak"/>
    <w:basedOn w:val="Normalny"/>
    <w:next w:val="Normalny"/>
    <w:link w:val="Nagwek4Znak"/>
    <w:qFormat/>
    <w:rsid w:val="006B7E6A"/>
    <w:pPr>
      <w:widowControl w:val="0"/>
      <w:numPr>
        <w:ilvl w:val="3"/>
        <w:numId w:val="1"/>
      </w:numPr>
      <w:suppressAutoHyphens/>
      <w:spacing w:before="120" w:after="120" w:line="360" w:lineRule="auto"/>
      <w:outlineLvl w:val="3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6B7E6A"/>
    <w:pPr>
      <w:keepNext/>
      <w:numPr>
        <w:ilvl w:val="5"/>
        <w:numId w:val="1"/>
      </w:numPr>
      <w:suppressAutoHyphens/>
      <w:spacing w:before="60" w:line="240" w:lineRule="auto"/>
      <w:outlineLvl w:val="5"/>
    </w:pPr>
    <w:rPr>
      <w:rFonts w:ascii="Times New Roman" w:eastAsia="Times New Roman" w:hAnsi="Times New Roman" w:cs="Arial Unicode MS"/>
      <w:sz w:val="24"/>
      <w:szCs w:val="20"/>
      <w:lang w:eastAsia="ar-SA"/>
    </w:rPr>
  </w:style>
  <w:style w:type="paragraph" w:styleId="Nagwek7">
    <w:name w:val="heading 7"/>
    <w:basedOn w:val="Normalny"/>
    <w:next w:val="Normalny"/>
    <w:link w:val="Nagwek7Znak"/>
    <w:qFormat/>
    <w:rsid w:val="006B7E6A"/>
    <w:pPr>
      <w:keepNext/>
      <w:numPr>
        <w:ilvl w:val="6"/>
        <w:numId w:val="1"/>
      </w:numPr>
      <w:suppressAutoHyphens/>
      <w:spacing w:before="60" w:line="240" w:lineRule="auto"/>
      <w:outlineLvl w:val="6"/>
    </w:pPr>
    <w:rPr>
      <w:rFonts w:ascii="Times New Roman" w:eastAsia="Times New Roman" w:hAnsi="Times New Roman" w:cs="Arial Unicode MS"/>
      <w:i/>
      <w:szCs w:val="20"/>
      <w:lang w:eastAsia="ar-SA"/>
    </w:rPr>
  </w:style>
  <w:style w:type="paragraph" w:styleId="Nagwek8">
    <w:name w:val="heading 8"/>
    <w:basedOn w:val="Normalny"/>
    <w:next w:val="Normalny"/>
    <w:link w:val="Nagwek8Znak"/>
    <w:qFormat/>
    <w:rsid w:val="006B7E6A"/>
    <w:pPr>
      <w:keepNext/>
      <w:numPr>
        <w:ilvl w:val="7"/>
        <w:numId w:val="1"/>
      </w:numPr>
      <w:suppressAutoHyphens/>
      <w:spacing w:before="60" w:line="240" w:lineRule="auto"/>
      <w:outlineLvl w:val="7"/>
    </w:pPr>
    <w:rPr>
      <w:rFonts w:ascii="Times New Roman" w:eastAsia="Times New Roman" w:hAnsi="Times New Roman" w:cs="Arial Unicode MS"/>
      <w:i/>
      <w:szCs w:val="20"/>
      <w:lang w:eastAsia="ar-SA"/>
    </w:rPr>
  </w:style>
  <w:style w:type="paragraph" w:styleId="Nagwek9">
    <w:name w:val="heading 9"/>
    <w:basedOn w:val="Normalny"/>
    <w:next w:val="Normalny"/>
    <w:link w:val="Nagwek9Znak"/>
    <w:qFormat/>
    <w:rsid w:val="006B7E6A"/>
    <w:pPr>
      <w:keepNext/>
      <w:numPr>
        <w:ilvl w:val="8"/>
        <w:numId w:val="1"/>
      </w:numPr>
      <w:suppressAutoHyphens/>
      <w:spacing w:before="60" w:line="240" w:lineRule="auto"/>
      <w:outlineLvl w:val="8"/>
    </w:pPr>
    <w:rPr>
      <w:rFonts w:ascii="Times New Roman" w:eastAsia="Times New Roman" w:hAnsi="Times New Roman" w:cs="Arial Unicode MS"/>
      <w:i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1 Znak,opis Znak,section:1 Znak"/>
    <w:basedOn w:val="Domylnaczcionkaakapitu"/>
    <w:link w:val="Nagwek1"/>
    <w:uiPriority w:val="1"/>
    <w:rsid w:val="006B7E6A"/>
    <w:rPr>
      <w:rFonts w:ascii="Times New Roman" w:eastAsia="Times New Roman" w:hAnsi="Times New Roman" w:cs="Arial Unicode MS"/>
      <w:b/>
      <w:sz w:val="28"/>
      <w:szCs w:val="20"/>
      <w:lang w:eastAsia="ar-SA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9"/>
    <w:rsid w:val="006B7E6A"/>
    <w:rPr>
      <w:rFonts w:ascii="Times New Roman" w:eastAsia="Times New Roman" w:hAnsi="Times New Roman" w:cs="Arial Unicode MS"/>
      <w:b/>
      <w:sz w:val="24"/>
      <w:szCs w:val="20"/>
      <w:lang w:eastAsia="ar-SA"/>
    </w:rPr>
  </w:style>
  <w:style w:type="character" w:customStyle="1" w:styleId="Nagwek4Znak">
    <w:name w:val="Nagłówek 4 Znak"/>
    <w:aliases w:val="Nagłówek 4 Znak Znak Znak"/>
    <w:basedOn w:val="Domylnaczcionkaakapitu"/>
    <w:link w:val="Nagwek4"/>
    <w:rsid w:val="006B7E6A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Nagwek6Znak">
    <w:name w:val="Nagłówek 6 Znak"/>
    <w:basedOn w:val="Domylnaczcionkaakapitu"/>
    <w:link w:val="Nagwek6"/>
    <w:uiPriority w:val="9"/>
    <w:rsid w:val="006B7E6A"/>
    <w:rPr>
      <w:rFonts w:ascii="Times New Roman" w:eastAsia="Times New Roman" w:hAnsi="Times New Roman" w:cs="Arial Unicode MS"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6B7E6A"/>
    <w:rPr>
      <w:rFonts w:ascii="Times New Roman" w:eastAsia="Times New Roman" w:hAnsi="Times New Roman" w:cs="Arial Unicode MS"/>
      <w:i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6B7E6A"/>
    <w:rPr>
      <w:rFonts w:ascii="Times New Roman" w:eastAsia="Times New Roman" w:hAnsi="Times New Roman" w:cs="Arial Unicode MS"/>
      <w:i/>
      <w:szCs w:val="20"/>
      <w:lang w:eastAsia="ar-SA"/>
    </w:rPr>
  </w:style>
  <w:style w:type="character" w:customStyle="1" w:styleId="Nagwek9Znak">
    <w:name w:val="Nagłówek 9 Znak"/>
    <w:basedOn w:val="Domylnaczcionkaakapitu"/>
    <w:link w:val="Nagwek9"/>
    <w:rsid w:val="006B7E6A"/>
    <w:rPr>
      <w:rFonts w:ascii="Times New Roman" w:eastAsia="Times New Roman" w:hAnsi="Times New Roman" w:cs="Arial Unicode MS"/>
      <w:i/>
      <w:szCs w:val="20"/>
      <w:lang w:eastAsia="ar-SA"/>
    </w:rPr>
  </w:style>
  <w:style w:type="paragraph" w:styleId="Akapitzlist">
    <w:name w:val="List Paragraph"/>
    <w:aliases w:val="Podsis rysunku,x.,BulletC,Wyliczanie,Obiekt,List Paragraph,normalny tekst,List Paragraph1,Preambuła,Nagłowek 3,Wypunktowanie,L1,Akapit z listą3,Akapit z listą31,Alpha list,lp1,Punktowanie,Bulleting,Bullets,Normalny2,A_wyliczenie,Nag 1"/>
    <w:basedOn w:val="Normalny"/>
    <w:link w:val="AkapitzlistZnak"/>
    <w:uiPriority w:val="34"/>
    <w:qFormat/>
    <w:rsid w:val="006B7E6A"/>
    <w:pPr>
      <w:suppressAutoHyphens/>
      <w:spacing w:line="240" w:lineRule="auto"/>
      <w:ind w:left="708"/>
    </w:pPr>
    <w:rPr>
      <w:rFonts w:ascii="Times New Roman" w:eastAsia="Times New Roman" w:hAnsi="Times New Roman" w:cs="Arial Unicode MS"/>
      <w:sz w:val="20"/>
      <w:szCs w:val="20"/>
      <w:lang w:eastAsia="ar-SA"/>
    </w:rPr>
  </w:style>
  <w:style w:type="character" w:customStyle="1" w:styleId="AkapitzlistZnak">
    <w:name w:val="Akapit z listą Znak"/>
    <w:aliases w:val="Podsis rysunku Znak,x. Znak,BulletC Znak,Wyliczanie Znak,Obiekt Znak,List Paragraph Znak,normalny tekst Znak,List Paragraph1 Znak,Preambuła Znak,Nagłowek 3 Znak,Wypunktowanie Znak,L1 Znak,Akapit z listą3 Znak,Akapit z listą31 Znak"/>
    <w:link w:val="Akapitzlist"/>
    <w:uiPriority w:val="34"/>
    <w:qFormat/>
    <w:rsid w:val="006B7E6A"/>
    <w:rPr>
      <w:rFonts w:ascii="Times New Roman" w:eastAsia="Times New Roman" w:hAnsi="Times New Roman" w:cs="Arial Unicode MS"/>
      <w:sz w:val="20"/>
      <w:szCs w:val="20"/>
      <w:lang w:eastAsia="ar-SA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6B7E6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6B7E6A"/>
    <w:rPr>
      <w:sz w:val="20"/>
      <w:szCs w:val="20"/>
    </w:rPr>
  </w:style>
  <w:style w:type="paragraph" w:styleId="Nagwek">
    <w:name w:val="header"/>
    <w:aliases w:val="index"/>
    <w:basedOn w:val="Normalny"/>
    <w:link w:val="NagwekZnak"/>
    <w:uiPriority w:val="99"/>
    <w:rsid w:val="006B7E6A"/>
    <w:pPr>
      <w:tabs>
        <w:tab w:val="center" w:pos="4536"/>
        <w:tab w:val="right" w:pos="9072"/>
      </w:tabs>
      <w:suppressAutoHyphens/>
      <w:spacing w:line="240" w:lineRule="auto"/>
    </w:pPr>
    <w:rPr>
      <w:rFonts w:ascii="Times New Roman" w:eastAsia="Times New Roman" w:hAnsi="Times New Roman" w:cs="Arial Unicode MS"/>
      <w:sz w:val="24"/>
      <w:szCs w:val="20"/>
      <w:lang w:eastAsia="ar-SA"/>
    </w:rPr>
  </w:style>
  <w:style w:type="character" w:customStyle="1" w:styleId="NagwekZnak">
    <w:name w:val="Nagłówek Znak"/>
    <w:aliases w:val="index Znak"/>
    <w:basedOn w:val="Domylnaczcionkaakapitu"/>
    <w:link w:val="Nagwek"/>
    <w:uiPriority w:val="99"/>
    <w:rsid w:val="006B7E6A"/>
    <w:rPr>
      <w:rFonts w:ascii="Times New Roman" w:eastAsia="Times New Roman" w:hAnsi="Times New Roman" w:cs="Arial Unicode MS"/>
      <w:sz w:val="24"/>
      <w:szCs w:val="20"/>
      <w:lang w:eastAsia="ar-SA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 Char Char"/>
    <w:basedOn w:val="Normalny"/>
    <w:link w:val="TekstprzypisudolnegoZnak"/>
    <w:uiPriority w:val="99"/>
    <w:unhideWhenUsed/>
    <w:qFormat/>
    <w:rsid w:val="006B7E6A"/>
    <w:pPr>
      <w:suppressAutoHyphens/>
      <w:spacing w:line="240" w:lineRule="auto"/>
    </w:pPr>
    <w:rPr>
      <w:rFonts w:ascii="Times New Roman" w:eastAsia="Times New Roman" w:hAnsi="Times New Roman" w:cs="Arial Unicode MS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 Char Char Znak"/>
    <w:basedOn w:val="Domylnaczcionkaakapitu"/>
    <w:link w:val="Tekstprzypisudolnego"/>
    <w:uiPriority w:val="99"/>
    <w:qFormat/>
    <w:rsid w:val="006B7E6A"/>
    <w:rPr>
      <w:rFonts w:ascii="Times New Roman" w:eastAsia="Times New Roman" w:hAnsi="Times New Roman" w:cs="Arial Unicode MS"/>
      <w:sz w:val="20"/>
      <w:szCs w:val="20"/>
      <w:lang w:eastAsia="ar-SA"/>
    </w:rPr>
  </w:style>
  <w:style w:type="paragraph" w:customStyle="1" w:styleId="scfbrieftext">
    <w:name w:val="scfbrieftext"/>
    <w:basedOn w:val="Normalny"/>
    <w:uiPriority w:val="99"/>
    <w:rsid w:val="006B7E6A"/>
    <w:pPr>
      <w:spacing w:after="40" w:line="240" w:lineRule="auto"/>
      <w:ind w:left="0" w:firstLine="0"/>
      <w:jc w:val="left"/>
    </w:pPr>
    <w:rPr>
      <w:rFonts w:ascii="Arial" w:eastAsia="Times New Roman" w:hAnsi="Arial" w:cs="Times New Roman"/>
      <w:iCs/>
      <w:szCs w:val="20"/>
      <w:lang w:val="de-DE" w:eastAsia="de-DE"/>
    </w:rPr>
  </w:style>
  <w:style w:type="paragraph" w:customStyle="1" w:styleId="pgraftxt1">
    <w:name w:val="pgraf_txt1"/>
    <w:basedOn w:val="Normalny"/>
    <w:rsid w:val="006B7E6A"/>
    <w:pPr>
      <w:widowControl w:val="0"/>
      <w:tabs>
        <w:tab w:val="left" w:pos="907"/>
      </w:tabs>
      <w:overflowPunct w:val="0"/>
      <w:autoSpaceDE w:val="0"/>
      <w:autoSpaceDN w:val="0"/>
      <w:adjustRightInd w:val="0"/>
      <w:spacing w:line="360" w:lineRule="atLeast"/>
      <w:ind w:left="0" w:firstLine="0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15</Pages>
  <Words>5393</Words>
  <Characters>32364</Characters>
  <Application>Microsoft Office Word</Application>
  <DocSecurity>0</DocSecurity>
  <Lines>269</Lines>
  <Paragraphs>75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Maciak Jacek</dc:creator>
  <cp:keywords/>
  <dc:description/>
  <cp:lastModifiedBy>Niewęgłowska Ilona</cp:lastModifiedBy>
  <cp:revision>11</cp:revision>
  <dcterms:created xsi:type="dcterms:W3CDTF">2026-07-07T12:06:00Z</dcterms:created>
  <dcterms:modified xsi:type="dcterms:W3CDTF">2026-07-08T11:24:00Z</dcterms:modified>
</cp:coreProperties>
</file>